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C11" w:rsidRPr="00E62EF1" w:rsidRDefault="00E31C11" w:rsidP="00CF724E">
      <w:pPr>
        <w:rPr>
          <w:rFonts w:ascii="Arial" w:hAnsi="Arial" w:cs="Arial"/>
          <w:sz w:val="22"/>
          <w:szCs w:val="22"/>
        </w:rPr>
      </w:pPr>
    </w:p>
    <w:p w:rsidR="00E31C11" w:rsidRPr="00E62EF1" w:rsidRDefault="00E31C11" w:rsidP="00CF724E">
      <w:pPr>
        <w:rPr>
          <w:rFonts w:ascii="Arial" w:hAnsi="Arial" w:cs="Arial"/>
          <w:sz w:val="22"/>
          <w:szCs w:val="22"/>
        </w:rPr>
      </w:pPr>
    </w:p>
    <w:p w:rsidR="00E31C11" w:rsidRDefault="00E31C11" w:rsidP="00CF724E">
      <w:pPr>
        <w:jc w:val="center"/>
        <w:rPr>
          <w:rFonts w:ascii="Arial" w:hAnsi="Arial" w:cs="Arial"/>
          <w:b/>
          <w:bCs/>
          <w:sz w:val="22"/>
          <w:szCs w:val="22"/>
        </w:rPr>
      </w:pPr>
    </w:p>
    <w:p w:rsidR="00E31C11" w:rsidRDefault="00E31C11" w:rsidP="00CF724E">
      <w:pPr>
        <w:jc w:val="center"/>
        <w:rPr>
          <w:rFonts w:ascii="Arial" w:hAnsi="Arial" w:cs="Arial"/>
          <w:b/>
          <w:bCs/>
          <w:sz w:val="22"/>
          <w:szCs w:val="22"/>
        </w:rPr>
      </w:pPr>
    </w:p>
    <w:p w:rsidR="00E31C11" w:rsidRPr="00E62EF1" w:rsidRDefault="00E31C11" w:rsidP="00CF724E">
      <w:pPr>
        <w:jc w:val="center"/>
        <w:rPr>
          <w:rFonts w:ascii="Arial" w:hAnsi="Arial" w:cs="Arial"/>
          <w:b/>
          <w:bCs/>
          <w:sz w:val="22"/>
          <w:szCs w:val="22"/>
        </w:rPr>
      </w:pPr>
      <w:r w:rsidRPr="00E62EF1">
        <w:rPr>
          <w:rFonts w:ascii="Arial" w:hAnsi="Arial" w:cs="Arial"/>
          <w:b/>
          <w:bCs/>
          <w:sz w:val="22"/>
          <w:szCs w:val="22"/>
        </w:rPr>
        <w:t>ENVIRONMENTAL REVIEW TRIBUNAL</w:t>
      </w:r>
    </w:p>
    <w:p w:rsidR="00E31C11" w:rsidRPr="00E62EF1" w:rsidRDefault="00E31C11" w:rsidP="00CF724E">
      <w:pPr>
        <w:spacing w:line="360" w:lineRule="auto"/>
        <w:jc w:val="center"/>
        <w:rPr>
          <w:rFonts w:ascii="Arial" w:hAnsi="Arial" w:cs="Arial"/>
          <w:b/>
          <w:bCs/>
          <w:sz w:val="22"/>
          <w:szCs w:val="22"/>
        </w:rPr>
      </w:pPr>
    </w:p>
    <w:p w:rsidR="00E31C11" w:rsidRDefault="00E31C11" w:rsidP="00206CB9">
      <w:pPr>
        <w:ind w:left="1890" w:right="2070"/>
        <w:jc w:val="both"/>
        <w:rPr>
          <w:rFonts w:ascii="Arial" w:hAnsi="Arial" w:cs="Arial"/>
          <w:b/>
          <w:bCs/>
          <w:sz w:val="22"/>
          <w:szCs w:val="22"/>
          <w:lang w:val="en-GB"/>
        </w:rPr>
      </w:pPr>
    </w:p>
    <w:p w:rsidR="00E31C11" w:rsidRPr="00E62EF1" w:rsidRDefault="00E31C11" w:rsidP="00206CB9">
      <w:pPr>
        <w:ind w:left="1890" w:right="2070"/>
        <w:jc w:val="both"/>
        <w:rPr>
          <w:rFonts w:ascii="Arial" w:hAnsi="Arial" w:cs="Arial"/>
          <w:sz w:val="22"/>
          <w:szCs w:val="22"/>
          <w:lang w:val="en-GB"/>
        </w:rPr>
      </w:pPr>
      <w:r w:rsidRPr="00E62EF1">
        <w:rPr>
          <w:rFonts w:ascii="Arial" w:hAnsi="Arial" w:cs="Arial"/>
          <w:b/>
          <w:bCs/>
          <w:sz w:val="22"/>
          <w:szCs w:val="22"/>
          <w:lang w:val="en-GB"/>
        </w:rPr>
        <w:t xml:space="preserve">IN THE MATTER OF </w:t>
      </w:r>
      <w:r>
        <w:rPr>
          <w:rFonts w:ascii="Arial" w:hAnsi="Arial" w:cs="Arial"/>
          <w:bCs/>
          <w:sz w:val="22"/>
          <w:szCs w:val="22"/>
          <w:lang w:val="en-GB"/>
        </w:rPr>
        <w:t>a request for a Hearing</w:t>
      </w:r>
      <w:r w:rsidRPr="00E62EF1">
        <w:rPr>
          <w:rFonts w:ascii="Arial" w:hAnsi="Arial" w:cs="Arial"/>
          <w:bCs/>
          <w:sz w:val="22"/>
          <w:szCs w:val="22"/>
          <w:lang w:val="en-GB"/>
        </w:rPr>
        <w:t xml:space="preserve"> by Nestl</w:t>
      </w:r>
      <w:r w:rsidRPr="00E62EF1">
        <w:rPr>
          <w:rFonts w:ascii="Arial" w:hAnsi="Arial" w:cs="Arial"/>
          <w:bCs/>
          <w:sz w:val="22"/>
          <w:szCs w:val="22"/>
        </w:rPr>
        <w:t>é</w:t>
      </w:r>
      <w:r w:rsidRPr="00E62EF1">
        <w:rPr>
          <w:rFonts w:ascii="Arial" w:hAnsi="Arial" w:cs="Arial"/>
          <w:bCs/>
          <w:sz w:val="22"/>
          <w:szCs w:val="22"/>
          <w:lang w:val="en-GB"/>
        </w:rPr>
        <w:t xml:space="preserve"> Canada Inc. filed </w:t>
      </w:r>
      <w:r>
        <w:rPr>
          <w:rFonts w:ascii="Arial" w:hAnsi="Arial" w:cs="Arial"/>
          <w:bCs/>
          <w:sz w:val="22"/>
          <w:szCs w:val="22"/>
          <w:lang w:val="en-GB"/>
        </w:rPr>
        <w:t xml:space="preserve">on </w:t>
      </w:r>
      <w:r w:rsidRPr="00E62EF1">
        <w:rPr>
          <w:rFonts w:ascii="Arial" w:hAnsi="Arial" w:cs="Arial"/>
          <w:bCs/>
          <w:sz w:val="22"/>
          <w:szCs w:val="22"/>
          <w:lang w:val="en-GB"/>
        </w:rPr>
        <w:t xml:space="preserve">October 11, 2012 pursuant to section 100 of the </w:t>
      </w:r>
      <w:r w:rsidRPr="00E62EF1">
        <w:rPr>
          <w:rFonts w:ascii="Arial" w:hAnsi="Arial" w:cs="Arial"/>
          <w:bCs/>
          <w:i/>
          <w:sz w:val="22"/>
          <w:szCs w:val="22"/>
          <w:lang w:val="en-GB"/>
        </w:rPr>
        <w:t xml:space="preserve">Ontario Water Resources Act, </w:t>
      </w:r>
      <w:r w:rsidRPr="00E62EF1">
        <w:rPr>
          <w:rFonts w:ascii="Arial" w:hAnsi="Arial" w:cs="Arial"/>
          <w:bCs/>
          <w:sz w:val="22"/>
          <w:szCs w:val="22"/>
          <w:lang w:val="en-GB"/>
        </w:rPr>
        <w:t>R.S.O. 1990, c. O.40, as amended with respect to Permit to Take Water (Ground</w:t>
      </w:r>
      <w:r>
        <w:rPr>
          <w:rFonts w:ascii="Arial" w:hAnsi="Arial" w:cs="Arial"/>
          <w:bCs/>
          <w:sz w:val="22"/>
          <w:szCs w:val="22"/>
          <w:lang w:val="en-GB"/>
        </w:rPr>
        <w:t xml:space="preserve"> W</w:t>
      </w:r>
      <w:r w:rsidRPr="00E62EF1">
        <w:rPr>
          <w:rFonts w:ascii="Arial" w:hAnsi="Arial" w:cs="Arial"/>
          <w:bCs/>
          <w:sz w:val="22"/>
          <w:szCs w:val="22"/>
          <w:lang w:val="en-GB"/>
        </w:rPr>
        <w:t xml:space="preserve">ater) #3716-8UZMCU issued by the Director, Ministry of the Environment, on September 28, 2012 under section 34 of the </w:t>
      </w:r>
      <w:r w:rsidRPr="00E62EF1">
        <w:rPr>
          <w:rFonts w:ascii="Arial" w:hAnsi="Arial" w:cs="Arial"/>
          <w:bCs/>
          <w:i/>
          <w:sz w:val="22"/>
          <w:szCs w:val="22"/>
          <w:lang w:val="en-GB"/>
        </w:rPr>
        <w:t>Ontario Water Resources Act</w:t>
      </w:r>
      <w:r w:rsidRPr="00E62EF1">
        <w:rPr>
          <w:rFonts w:ascii="Arial" w:hAnsi="Arial" w:cs="Arial"/>
          <w:bCs/>
          <w:sz w:val="22"/>
          <w:szCs w:val="22"/>
          <w:lang w:val="en-GB"/>
        </w:rPr>
        <w:t xml:space="preserve"> </w:t>
      </w:r>
      <w:r>
        <w:rPr>
          <w:rFonts w:ascii="Arial" w:hAnsi="Arial" w:cs="Arial"/>
          <w:bCs/>
          <w:sz w:val="22"/>
          <w:szCs w:val="22"/>
          <w:lang w:val="en-GB"/>
        </w:rPr>
        <w:t>permitting</w:t>
      </w:r>
      <w:r w:rsidRPr="00E62EF1">
        <w:rPr>
          <w:rFonts w:ascii="Arial" w:hAnsi="Arial" w:cs="Arial"/>
          <w:bCs/>
          <w:sz w:val="22"/>
          <w:szCs w:val="22"/>
          <w:lang w:val="en-GB"/>
        </w:rPr>
        <w:t xml:space="preserve"> taking </w:t>
      </w:r>
      <w:r>
        <w:rPr>
          <w:rFonts w:ascii="Arial" w:hAnsi="Arial" w:cs="Arial"/>
          <w:bCs/>
          <w:sz w:val="22"/>
          <w:szCs w:val="22"/>
          <w:lang w:val="en-GB"/>
        </w:rPr>
        <w:t xml:space="preserve">of ground water </w:t>
      </w:r>
      <w:r w:rsidRPr="00E62EF1">
        <w:rPr>
          <w:rFonts w:ascii="Arial" w:hAnsi="Arial" w:cs="Arial"/>
          <w:bCs/>
          <w:sz w:val="22"/>
          <w:szCs w:val="22"/>
          <w:lang w:val="en-GB"/>
        </w:rPr>
        <w:t>from one bedrock drilled well (TW1-88) located at Lot 24, Concession 7, Geographic Township of Erin</w:t>
      </w:r>
      <w:r>
        <w:rPr>
          <w:rFonts w:ascii="Arial" w:hAnsi="Arial" w:cs="Arial"/>
          <w:bCs/>
          <w:sz w:val="22"/>
          <w:szCs w:val="22"/>
          <w:lang w:val="en-GB"/>
        </w:rPr>
        <w:t>, County of Wellington, Ontario.</w:t>
      </w:r>
    </w:p>
    <w:p w:rsidR="00E31C11" w:rsidRPr="00E62EF1" w:rsidRDefault="00E31C11" w:rsidP="00206CB9">
      <w:pPr>
        <w:ind w:left="1890" w:right="2070"/>
        <w:jc w:val="both"/>
        <w:rPr>
          <w:rFonts w:ascii="Arial" w:hAnsi="Arial" w:cs="Arial"/>
          <w:sz w:val="22"/>
          <w:szCs w:val="22"/>
          <w:lang w:val="en-GB"/>
        </w:rPr>
      </w:pPr>
    </w:p>
    <w:p w:rsidR="00E31C11" w:rsidRPr="00E62EF1" w:rsidRDefault="00E31C11" w:rsidP="00206C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2070"/>
        <w:jc w:val="both"/>
        <w:rPr>
          <w:rFonts w:ascii="Arial" w:hAnsi="Arial" w:cs="Arial"/>
          <w:sz w:val="22"/>
          <w:szCs w:val="22"/>
          <w:lang w:val="en-GB"/>
        </w:rPr>
      </w:pPr>
    </w:p>
    <w:p w:rsidR="00E31C11" w:rsidRPr="00E62EF1" w:rsidRDefault="00E31C11" w:rsidP="00206C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2070"/>
        <w:jc w:val="both"/>
        <w:rPr>
          <w:rFonts w:ascii="Arial" w:hAnsi="Arial" w:cs="Arial"/>
          <w:sz w:val="22"/>
          <w:szCs w:val="22"/>
          <w:lang w:val="en-GB"/>
        </w:rPr>
      </w:pPr>
    </w:p>
    <w:p w:rsidR="00E31C11" w:rsidRDefault="00E31C11" w:rsidP="00206CB9">
      <w:pPr>
        <w:keepNext/>
        <w:keepLines/>
        <w:widowControl/>
        <w:pBdr>
          <w:top w:val="double" w:sz="6" w:space="8" w:color="auto"/>
          <w:bottom w:val="double" w:sz="6" w:space="8" w:color="auto"/>
        </w:pBdr>
        <w:tabs>
          <w:tab w:val="left" w:pos="-180"/>
          <w:tab w:val="left" w:pos="720"/>
          <w:tab w:val="left" w:pos="2160"/>
          <w:tab w:val="left" w:pos="2880"/>
          <w:tab w:val="left" w:pos="3600"/>
          <w:tab w:val="left" w:pos="4320"/>
          <w:tab w:val="left" w:pos="5040"/>
          <w:tab w:val="left" w:pos="5760"/>
          <w:tab w:val="left" w:pos="6480"/>
          <w:tab w:val="left" w:pos="7200"/>
          <w:tab w:val="right" w:pos="7920"/>
          <w:tab w:val="left" w:pos="8640"/>
        </w:tabs>
        <w:ind w:left="2160" w:right="2070"/>
        <w:jc w:val="center"/>
        <w:rPr>
          <w:rFonts w:ascii="Arial" w:hAnsi="Arial" w:cs="Arial"/>
          <w:b/>
          <w:bCs/>
          <w:sz w:val="22"/>
          <w:szCs w:val="22"/>
          <w:lang w:val="en-GB"/>
        </w:rPr>
      </w:pPr>
      <w:r>
        <w:rPr>
          <w:rFonts w:ascii="Arial" w:hAnsi="Arial" w:cs="Arial"/>
          <w:b/>
          <w:bCs/>
          <w:sz w:val="22"/>
          <w:szCs w:val="22"/>
          <w:lang w:val="en-GB"/>
        </w:rPr>
        <w:t xml:space="preserve">NESTLÉ CANADA INC. </w:t>
      </w:r>
    </w:p>
    <w:p w:rsidR="00E31C11" w:rsidRPr="00E62EF1" w:rsidRDefault="00E31C11" w:rsidP="00206CB9">
      <w:pPr>
        <w:keepNext/>
        <w:keepLines/>
        <w:widowControl/>
        <w:pBdr>
          <w:top w:val="double" w:sz="6" w:space="8" w:color="auto"/>
          <w:bottom w:val="double" w:sz="6" w:space="8" w:color="auto"/>
        </w:pBdr>
        <w:tabs>
          <w:tab w:val="left" w:pos="-180"/>
          <w:tab w:val="left" w:pos="720"/>
          <w:tab w:val="left" w:pos="2160"/>
          <w:tab w:val="left" w:pos="2880"/>
          <w:tab w:val="left" w:pos="3600"/>
          <w:tab w:val="left" w:pos="4320"/>
          <w:tab w:val="left" w:pos="5040"/>
          <w:tab w:val="left" w:pos="5760"/>
          <w:tab w:val="left" w:pos="6480"/>
          <w:tab w:val="left" w:pos="7200"/>
          <w:tab w:val="right" w:pos="7920"/>
          <w:tab w:val="left" w:pos="8640"/>
        </w:tabs>
        <w:ind w:left="2160" w:right="2070"/>
        <w:jc w:val="center"/>
        <w:rPr>
          <w:rFonts w:ascii="Arial" w:hAnsi="Arial" w:cs="Arial"/>
          <w:b/>
          <w:bCs/>
          <w:sz w:val="22"/>
          <w:szCs w:val="22"/>
          <w:lang w:val="en-GB"/>
        </w:rPr>
      </w:pPr>
      <w:r>
        <w:rPr>
          <w:rFonts w:ascii="Arial" w:hAnsi="Arial" w:cs="Arial"/>
          <w:b/>
          <w:bCs/>
          <w:sz w:val="22"/>
          <w:szCs w:val="22"/>
          <w:lang w:val="en-GB"/>
        </w:rPr>
        <w:t>REPLY</w:t>
      </w:r>
    </w:p>
    <w:p w:rsidR="00E31C11" w:rsidRPr="00E62EF1" w:rsidRDefault="00E31C11" w:rsidP="00CF72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lang w:val="en-GB"/>
        </w:rPr>
      </w:pPr>
    </w:p>
    <w:p w:rsidR="00E31C11" w:rsidRDefault="00E31C11" w:rsidP="00CF72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lang w:val="en-GB"/>
        </w:rPr>
      </w:pPr>
    </w:p>
    <w:p w:rsidR="00E31C11" w:rsidRDefault="00E31C11" w:rsidP="00700B05">
      <w:pPr>
        <w:ind w:left="4320"/>
        <w:rPr>
          <w:rFonts w:ascii="Arial" w:hAnsi="Arial" w:cs="Arial"/>
          <w:b/>
          <w:bCs/>
          <w:caps/>
          <w:sz w:val="22"/>
          <w:szCs w:val="22"/>
        </w:rPr>
      </w:pPr>
    </w:p>
    <w:p w:rsidR="00E31C11" w:rsidRDefault="00E31C11" w:rsidP="00700B05">
      <w:pPr>
        <w:ind w:left="4320"/>
        <w:rPr>
          <w:rFonts w:ascii="Arial" w:hAnsi="Arial" w:cs="Arial"/>
          <w:b/>
          <w:bCs/>
          <w:caps/>
          <w:sz w:val="22"/>
          <w:szCs w:val="22"/>
        </w:rPr>
      </w:pPr>
    </w:p>
    <w:p w:rsidR="00E31C11" w:rsidRDefault="00E31C11" w:rsidP="00700B05">
      <w:pPr>
        <w:ind w:left="4320"/>
        <w:rPr>
          <w:rFonts w:ascii="Arial" w:hAnsi="Arial" w:cs="Arial"/>
          <w:b/>
          <w:bCs/>
          <w:caps/>
          <w:sz w:val="22"/>
          <w:szCs w:val="22"/>
        </w:rPr>
      </w:pPr>
    </w:p>
    <w:p w:rsidR="00E31C11" w:rsidRDefault="00E31C11" w:rsidP="00700B05">
      <w:pPr>
        <w:ind w:left="4320"/>
        <w:rPr>
          <w:rFonts w:ascii="Arial" w:hAnsi="Arial" w:cs="Arial"/>
          <w:b/>
          <w:bCs/>
          <w:caps/>
          <w:sz w:val="22"/>
          <w:szCs w:val="22"/>
        </w:rPr>
      </w:pPr>
    </w:p>
    <w:p w:rsidR="00E31C11" w:rsidRDefault="00E31C11" w:rsidP="00700B05">
      <w:pPr>
        <w:ind w:left="4320"/>
        <w:rPr>
          <w:rFonts w:ascii="Arial" w:hAnsi="Arial" w:cs="Arial"/>
          <w:b/>
          <w:bCs/>
          <w:caps/>
          <w:sz w:val="22"/>
          <w:szCs w:val="22"/>
        </w:rPr>
      </w:pPr>
    </w:p>
    <w:p w:rsidR="00E31C11" w:rsidRDefault="00E31C11" w:rsidP="00700B05">
      <w:pPr>
        <w:ind w:left="4320"/>
        <w:rPr>
          <w:rFonts w:ascii="Arial" w:hAnsi="Arial" w:cs="Arial"/>
          <w:b/>
          <w:bCs/>
          <w:caps/>
          <w:sz w:val="22"/>
          <w:szCs w:val="22"/>
        </w:rPr>
      </w:pPr>
    </w:p>
    <w:p w:rsidR="00E31C11" w:rsidRPr="00700B05" w:rsidRDefault="00E31C11" w:rsidP="00700B05">
      <w:pPr>
        <w:ind w:left="4320"/>
        <w:rPr>
          <w:rFonts w:ascii="Arial" w:hAnsi="Arial" w:cs="Arial"/>
          <w:b/>
          <w:bCs/>
          <w:caps/>
          <w:sz w:val="22"/>
          <w:szCs w:val="22"/>
        </w:rPr>
      </w:pPr>
      <w:r w:rsidRPr="00700B05">
        <w:rPr>
          <w:rFonts w:ascii="Arial" w:hAnsi="Arial" w:cs="Arial"/>
          <w:b/>
          <w:bCs/>
          <w:caps/>
          <w:sz w:val="22"/>
          <w:szCs w:val="22"/>
        </w:rPr>
        <w:t xml:space="preserve">Blake, Cassels &amp; Graydon </w:t>
      </w:r>
      <w:r w:rsidRPr="00700B05">
        <w:rPr>
          <w:rStyle w:val="ACLLLP"/>
          <w:rFonts w:cs="Arial"/>
          <w:b/>
          <w:bCs/>
          <w:caps/>
          <w:sz w:val="22"/>
          <w:szCs w:val="22"/>
        </w:rPr>
        <w:t>LLP</w:t>
      </w:r>
    </w:p>
    <w:p w:rsidR="00E31C11" w:rsidRPr="00700B05" w:rsidRDefault="00E31C11" w:rsidP="00700B05">
      <w:pPr>
        <w:ind w:left="4320"/>
        <w:rPr>
          <w:rFonts w:ascii="Arial" w:hAnsi="Arial" w:cs="Arial"/>
          <w:sz w:val="22"/>
          <w:szCs w:val="22"/>
        </w:rPr>
      </w:pPr>
      <w:r w:rsidRPr="00700B05">
        <w:rPr>
          <w:rFonts w:ascii="Arial" w:hAnsi="Arial" w:cs="Arial"/>
          <w:sz w:val="22"/>
          <w:szCs w:val="22"/>
        </w:rPr>
        <w:t>Barristers &amp; Solicitors</w:t>
      </w:r>
    </w:p>
    <w:p w:rsidR="00E31C11" w:rsidRPr="00700B05" w:rsidRDefault="00E31C11" w:rsidP="00700B05">
      <w:pPr>
        <w:ind w:left="4320"/>
        <w:rPr>
          <w:rFonts w:ascii="Arial" w:hAnsi="Arial" w:cs="Arial"/>
          <w:sz w:val="22"/>
          <w:szCs w:val="22"/>
        </w:rPr>
      </w:pPr>
      <w:r w:rsidRPr="00700B05">
        <w:rPr>
          <w:rFonts w:ascii="Arial" w:hAnsi="Arial" w:cs="Arial"/>
          <w:sz w:val="22"/>
          <w:szCs w:val="22"/>
        </w:rPr>
        <w:t>199 Bay Street</w:t>
      </w:r>
      <w:r w:rsidRPr="00700B05">
        <w:rPr>
          <w:rFonts w:ascii="Arial" w:hAnsi="Arial" w:cs="Arial"/>
          <w:sz w:val="22"/>
          <w:szCs w:val="22"/>
        </w:rPr>
        <w:br/>
        <w:t>Suite 4000, Commerce Court West</w:t>
      </w:r>
      <w:r w:rsidRPr="00700B05">
        <w:rPr>
          <w:rFonts w:ascii="Arial" w:hAnsi="Arial" w:cs="Arial"/>
          <w:sz w:val="22"/>
          <w:szCs w:val="22"/>
        </w:rPr>
        <w:br/>
        <w:t>Toronto, ON  M5L 1A9</w:t>
      </w:r>
    </w:p>
    <w:p w:rsidR="00E31C11" w:rsidRPr="00700B05" w:rsidRDefault="00E31C11" w:rsidP="00700B05">
      <w:pPr>
        <w:ind w:left="4320"/>
        <w:rPr>
          <w:rFonts w:ascii="Arial" w:hAnsi="Arial" w:cs="Arial"/>
          <w:sz w:val="22"/>
          <w:szCs w:val="22"/>
        </w:rPr>
      </w:pPr>
    </w:p>
    <w:p w:rsidR="00E31C11" w:rsidRDefault="00E31C11" w:rsidP="00700B05">
      <w:pPr>
        <w:ind w:left="4320"/>
        <w:rPr>
          <w:rStyle w:val="ACLCourtDocsFirmLawyers"/>
          <w:rFonts w:cs="Arial"/>
          <w:b/>
          <w:sz w:val="22"/>
          <w:szCs w:val="22"/>
        </w:rPr>
      </w:pPr>
      <w:r w:rsidRPr="00700B05">
        <w:rPr>
          <w:rStyle w:val="ACLCourtDocsFirmLawyers"/>
          <w:rFonts w:cs="Arial"/>
          <w:b/>
          <w:sz w:val="22"/>
          <w:szCs w:val="22"/>
        </w:rPr>
        <w:t>T</w:t>
      </w:r>
      <w:r>
        <w:rPr>
          <w:rStyle w:val="ACLCourtDocsFirmLawyers"/>
          <w:rFonts w:cs="Arial"/>
          <w:b/>
          <w:sz w:val="22"/>
          <w:szCs w:val="22"/>
        </w:rPr>
        <w:t>im W. Bermingham</w:t>
      </w:r>
    </w:p>
    <w:p w:rsidR="00E31C11" w:rsidRPr="00700B05" w:rsidRDefault="00E31C11" w:rsidP="00700B05">
      <w:pPr>
        <w:ind w:left="4320"/>
        <w:rPr>
          <w:rFonts w:ascii="Arial" w:hAnsi="Arial" w:cs="Arial"/>
          <w:sz w:val="22"/>
          <w:szCs w:val="22"/>
        </w:rPr>
      </w:pPr>
      <w:r>
        <w:rPr>
          <w:rStyle w:val="ACLCourtDocsFirmLawyers"/>
          <w:rFonts w:cs="Arial"/>
          <w:b/>
          <w:sz w:val="22"/>
          <w:szCs w:val="22"/>
        </w:rPr>
        <w:t>Counsel for Nestlé Canada Inc.</w:t>
      </w:r>
    </w:p>
    <w:p w:rsidR="00E31C11" w:rsidRDefault="00E31C11" w:rsidP="00700B05">
      <w:pPr>
        <w:ind w:left="4320"/>
        <w:rPr>
          <w:rStyle w:val="ACLCourtDocsFirmLawyersPhone"/>
          <w:rFonts w:cs="Arial"/>
          <w:sz w:val="22"/>
          <w:szCs w:val="22"/>
        </w:rPr>
      </w:pPr>
      <w:r w:rsidRPr="00700B05">
        <w:rPr>
          <w:rFonts w:ascii="Arial" w:hAnsi="Arial" w:cs="Arial"/>
          <w:sz w:val="22"/>
          <w:szCs w:val="22"/>
        </w:rPr>
        <w:t>Tel:</w:t>
      </w:r>
      <w:r w:rsidRPr="00700B05">
        <w:rPr>
          <w:rFonts w:ascii="Arial" w:hAnsi="Arial" w:cs="Arial"/>
          <w:sz w:val="22"/>
          <w:szCs w:val="22"/>
        </w:rPr>
        <w:tab/>
      </w:r>
      <w:r w:rsidRPr="00700B05">
        <w:rPr>
          <w:rStyle w:val="ACLCourtDocsFirmLawyersPhone"/>
          <w:rFonts w:cs="Arial"/>
          <w:sz w:val="22"/>
          <w:szCs w:val="22"/>
        </w:rPr>
        <w:t>416-863-</w:t>
      </w:r>
      <w:r>
        <w:rPr>
          <w:rStyle w:val="ACLCourtDocsFirmLawyersPhone"/>
          <w:rFonts w:cs="Arial"/>
          <w:sz w:val="22"/>
          <w:szCs w:val="22"/>
        </w:rPr>
        <w:t>2946</w:t>
      </w:r>
    </w:p>
    <w:p w:rsidR="00E31C11" w:rsidRPr="00700B05" w:rsidRDefault="00E31C11" w:rsidP="00700B05">
      <w:pPr>
        <w:ind w:left="4320"/>
        <w:rPr>
          <w:rStyle w:val="ACLCourtDocsFirmLawyersPhone"/>
          <w:rFonts w:cs="Arial"/>
          <w:sz w:val="22"/>
          <w:szCs w:val="22"/>
        </w:rPr>
      </w:pPr>
      <w:r>
        <w:rPr>
          <w:rStyle w:val="ACLCourtDocsFirmLawyersPhone"/>
          <w:rFonts w:cs="Arial"/>
          <w:sz w:val="22"/>
          <w:szCs w:val="22"/>
        </w:rPr>
        <w:t>Fax:</w:t>
      </w:r>
      <w:r>
        <w:rPr>
          <w:rStyle w:val="ACLCourtDocsFirmLawyersPhone"/>
          <w:rFonts w:cs="Arial"/>
          <w:sz w:val="22"/>
          <w:szCs w:val="22"/>
        </w:rPr>
        <w:tab/>
        <w:t>416-863-2653</w:t>
      </w:r>
    </w:p>
    <w:p w:rsidR="00E31C11" w:rsidRDefault="00E31C11" w:rsidP="00700B05">
      <w:pPr>
        <w:ind w:left="4320"/>
        <w:rPr>
          <w:rFonts w:ascii="Arial" w:hAnsi="Arial" w:cs="Arial"/>
          <w:sz w:val="22"/>
          <w:szCs w:val="22"/>
        </w:rPr>
      </w:pPr>
      <w:r w:rsidRPr="00700B05">
        <w:rPr>
          <w:rFonts w:ascii="Arial" w:hAnsi="Arial" w:cs="Arial"/>
          <w:sz w:val="22"/>
          <w:szCs w:val="22"/>
        </w:rPr>
        <w:t>Email:</w:t>
      </w:r>
      <w:r w:rsidRPr="00700B05">
        <w:rPr>
          <w:rFonts w:ascii="Arial" w:hAnsi="Arial" w:cs="Arial"/>
          <w:sz w:val="22"/>
          <w:szCs w:val="22"/>
        </w:rPr>
        <w:tab/>
      </w:r>
      <w:hyperlink r:id="rId8" w:history="1">
        <w:r w:rsidRPr="00AC3E56">
          <w:rPr>
            <w:rStyle w:val="Hyperlink"/>
            <w:rFonts w:ascii="Arial" w:hAnsi="Arial" w:cs="Arial"/>
            <w:sz w:val="22"/>
            <w:szCs w:val="22"/>
          </w:rPr>
          <w:t>tim.bermingham@blakes.com</w:t>
        </w:r>
      </w:hyperlink>
    </w:p>
    <w:p w:rsidR="00E31C11" w:rsidRPr="00700B05" w:rsidRDefault="00E31C11" w:rsidP="00700B05">
      <w:pPr>
        <w:ind w:left="4320"/>
        <w:rPr>
          <w:rFonts w:ascii="Arial" w:hAnsi="Arial" w:cs="Arial"/>
          <w:sz w:val="22"/>
          <w:szCs w:val="22"/>
        </w:rPr>
      </w:pPr>
    </w:p>
    <w:p w:rsidR="00E31C11" w:rsidRDefault="00E31C11" w:rsidP="00700B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jc w:val="both"/>
        <w:rPr>
          <w:rFonts w:ascii="Arial" w:hAnsi="Arial" w:cs="Arial"/>
          <w:sz w:val="22"/>
          <w:szCs w:val="22"/>
          <w:lang w:val="en-GB"/>
        </w:rPr>
        <w:sectPr w:rsidR="00E31C11" w:rsidSect="00700B0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1008" w:footer="1440" w:gutter="0"/>
          <w:cols w:space="720"/>
          <w:noEndnote/>
          <w:titlePg/>
        </w:sectPr>
      </w:pPr>
    </w:p>
    <w:p w:rsidR="00E31C11" w:rsidRDefault="00E31C11" w:rsidP="00700B05">
      <w:pPr>
        <w:widowControl/>
        <w:tabs>
          <w:tab w:val="left" w:pos="-4050"/>
          <w:tab w:val="left" w:pos="-3060"/>
          <w:tab w:val="left" w:pos="-2970"/>
          <w:tab w:val="left" w:pos="-1350"/>
          <w:tab w:val="left" w:pos="-900"/>
          <w:tab w:val="left" w:pos="-630"/>
          <w:tab w:val="left" w:pos="-450"/>
          <w:tab w:val="left" w:pos="0"/>
          <w:tab w:val="left" w:pos="720"/>
          <w:tab w:val="right" w:pos="9360"/>
        </w:tabs>
        <w:jc w:val="both"/>
        <w:rPr>
          <w:rFonts w:ascii="Arial" w:hAnsi="Arial" w:cs="Arial"/>
          <w:sz w:val="22"/>
          <w:szCs w:val="22"/>
          <w:lang w:val="en-GB"/>
        </w:rPr>
      </w:pPr>
      <w:r>
        <w:rPr>
          <w:rFonts w:ascii="Arial" w:hAnsi="Arial" w:cs="Arial"/>
          <w:sz w:val="22"/>
          <w:szCs w:val="22"/>
          <w:lang w:val="en-GB"/>
        </w:rPr>
        <w:lastRenderedPageBreak/>
        <w:t>To:</w:t>
      </w:r>
    </w:p>
    <w:p w:rsidR="00E31C11" w:rsidRDefault="00E31C11" w:rsidP="00700B05">
      <w:pPr>
        <w:widowControl/>
        <w:tabs>
          <w:tab w:val="left" w:pos="-4050"/>
          <w:tab w:val="left" w:pos="-3060"/>
          <w:tab w:val="left" w:pos="-2970"/>
          <w:tab w:val="left" w:pos="-1350"/>
          <w:tab w:val="left" w:pos="-900"/>
          <w:tab w:val="left" w:pos="-630"/>
          <w:tab w:val="left" w:pos="-450"/>
          <w:tab w:val="left" w:pos="0"/>
          <w:tab w:val="left" w:pos="720"/>
          <w:tab w:val="right" w:pos="9360"/>
        </w:tabs>
        <w:jc w:val="both"/>
        <w:rPr>
          <w:rFonts w:ascii="Arial" w:hAnsi="Arial" w:cs="Arial"/>
          <w:sz w:val="22"/>
          <w:szCs w:val="22"/>
          <w:lang w:val="en-GB"/>
        </w:rPr>
      </w:pPr>
    </w:p>
    <w:p w:rsidR="00E31C11" w:rsidRPr="000D7AD8" w:rsidRDefault="00E31C11" w:rsidP="00700B05">
      <w:pPr>
        <w:widowControl/>
        <w:tabs>
          <w:tab w:val="left" w:pos="-4050"/>
          <w:tab w:val="left" w:pos="-3060"/>
          <w:tab w:val="left" w:pos="-2970"/>
          <w:tab w:val="left" w:pos="-1350"/>
          <w:tab w:val="left" w:pos="-900"/>
          <w:tab w:val="left" w:pos="-630"/>
          <w:tab w:val="left" w:pos="-450"/>
          <w:tab w:val="left" w:pos="0"/>
          <w:tab w:val="left" w:pos="720"/>
          <w:tab w:val="right" w:pos="9360"/>
        </w:tabs>
        <w:jc w:val="both"/>
        <w:rPr>
          <w:rFonts w:ascii="Arial" w:hAnsi="Arial" w:cs="Arial"/>
          <w:b/>
          <w:sz w:val="22"/>
          <w:szCs w:val="22"/>
          <w:lang w:val="en-GB"/>
        </w:rPr>
      </w:pPr>
      <w:r w:rsidRPr="000D7AD8">
        <w:rPr>
          <w:rFonts w:ascii="Arial" w:hAnsi="Arial" w:cs="Arial"/>
          <w:b/>
          <w:sz w:val="22"/>
          <w:szCs w:val="22"/>
          <w:lang w:val="en-GB"/>
        </w:rPr>
        <w:t>Justin Jacob</w:t>
      </w:r>
    </w:p>
    <w:p w:rsidR="00E31C11" w:rsidRPr="000D7AD8" w:rsidRDefault="00E31C11" w:rsidP="00700B05">
      <w:pPr>
        <w:widowControl/>
        <w:tabs>
          <w:tab w:val="left" w:pos="-4050"/>
          <w:tab w:val="left" w:pos="-3060"/>
          <w:tab w:val="left" w:pos="-2970"/>
          <w:tab w:val="left" w:pos="-1350"/>
          <w:tab w:val="left" w:pos="-900"/>
          <w:tab w:val="left" w:pos="-630"/>
          <w:tab w:val="left" w:pos="-450"/>
          <w:tab w:val="left" w:pos="0"/>
          <w:tab w:val="left" w:pos="720"/>
          <w:tab w:val="right" w:pos="9360"/>
        </w:tabs>
        <w:jc w:val="both"/>
        <w:rPr>
          <w:rFonts w:ascii="Arial" w:hAnsi="Arial" w:cs="Arial"/>
          <w:b/>
          <w:sz w:val="22"/>
          <w:szCs w:val="22"/>
          <w:lang w:val="en-GB"/>
        </w:rPr>
      </w:pPr>
      <w:r w:rsidRPr="000D7AD8">
        <w:rPr>
          <w:rFonts w:ascii="Arial" w:hAnsi="Arial" w:cs="Arial"/>
          <w:b/>
          <w:sz w:val="22"/>
          <w:szCs w:val="22"/>
          <w:lang w:val="en-GB"/>
        </w:rPr>
        <w:t>Counsel for the Director</w:t>
      </w:r>
    </w:p>
    <w:p w:rsidR="00E31C11" w:rsidRDefault="00E31C11" w:rsidP="00700B05">
      <w:pPr>
        <w:widowControl/>
        <w:tabs>
          <w:tab w:val="left" w:pos="-4050"/>
          <w:tab w:val="left" w:pos="-3060"/>
          <w:tab w:val="left" w:pos="-2970"/>
          <w:tab w:val="left" w:pos="-1350"/>
          <w:tab w:val="left" w:pos="-900"/>
          <w:tab w:val="left" w:pos="-630"/>
          <w:tab w:val="left" w:pos="-450"/>
          <w:tab w:val="left" w:pos="0"/>
          <w:tab w:val="left" w:pos="720"/>
          <w:tab w:val="right" w:pos="9360"/>
        </w:tabs>
        <w:jc w:val="both"/>
        <w:rPr>
          <w:rFonts w:ascii="Arial" w:hAnsi="Arial" w:cs="Arial"/>
          <w:sz w:val="22"/>
          <w:szCs w:val="22"/>
          <w:lang w:val="en-GB"/>
        </w:rPr>
      </w:pPr>
      <w:r>
        <w:rPr>
          <w:rFonts w:ascii="Arial" w:hAnsi="Arial" w:cs="Arial"/>
          <w:sz w:val="22"/>
          <w:szCs w:val="22"/>
          <w:lang w:val="en-GB"/>
        </w:rPr>
        <w:t>135 St. Clair Ave. West, 10</w:t>
      </w:r>
      <w:r w:rsidRPr="00700B05">
        <w:rPr>
          <w:rFonts w:ascii="Arial" w:hAnsi="Arial" w:cs="Arial"/>
          <w:sz w:val="22"/>
          <w:szCs w:val="22"/>
          <w:vertAlign w:val="superscript"/>
          <w:lang w:val="en-GB"/>
        </w:rPr>
        <w:t>th</w:t>
      </w:r>
      <w:r>
        <w:rPr>
          <w:rFonts w:ascii="Arial" w:hAnsi="Arial" w:cs="Arial"/>
          <w:sz w:val="22"/>
          <w:szCs w:val="22"/>
          <w:lang w:val="en-GB"/>
        </w:rPr>
        <w:t xml:space="preserve"> Floor</w:t>
      </w:r>
    </w:p>
    <w:p w:rsidR="00E31C11" w:rsidRDefault="00E31C11" w:rsidP="00700B05">
      <w:pPr>
        <w:widowControl/>
        <w:tabs>
          <w:tab w:val="left" w:pos="-4050"/>
          <w:tab w:val="left" w:pos="-3060"/>
          <w:tab w:val="left" w:pos="-2970"/>
          <w:tab w:val="left" w:pos="-1350"/>
          <w:tab w:val="left" w:pos="-900"/>
          <w:tab w:val="left" w:pos="-630"/>
          <w:tab w:val="left" w:pos="-450"/>
          <w:tab w:val="left" w:pos="0"/>
          <w:tab w:val="left" w:pos="720"/>
          <w:tab w:val="right" w:pos="9360"/>
        </w:tabs>
        <w:jc w:val="both"/>
        <w:rPr>
          <w:rFonts w:ascii="Arial" w:hAnsi="Arial" w:cs="Arial"/>
          <w:sz w:val="22"/>
          <w:szCs w:val="22"/>
          <w:lang w:val="en-GB"/>
        </w:rPr>
      </w:pPr>
      <w:r>
        <w:rPr>
          <w:rFonts w:ascii="Arial" w:hAnsi="Arial" w:cs="Arial"/>
          <w:sz w:val="22"/>
          <w:szCs w:val="22"/>
          <w:lang w:val="en-GB"/>
        </w:rPr>
        <w:t>Toronto, Ontario</w:t>
      </w:r>
    </w:p>
    <w:p w:rsidR="00E31C11" w:rsidRDefault="00E31C11" w:rsidP="00700B05">
      <w:pPr>
        <w:widowControl/>
        <w:tabs>
          <w:tab w:val="left" w:pos="-4050"/>
          <w:tab w:val="left" w:pos="-3060"/>
          <w:tab w:val="left" w:pos="-2970"/>
          <w:tab w:val="left" w:pos="-1350"/>
          <w:tab w:val="left" w:pos="-900"/>
          <w:tab w:val="left" w:pos="-630"/>
          <w:tab w:val="left" w:pos="-450"/>
          <w:tab w:val="left" w:pos="0"/>
          <w:tab w:val="left" w:pos="720"/>
          <w:tab w:val="right" w:pos="9360"/>
        </w:tabs>
        <w:jc w:val="both"/>
        <w:rPr>
          <w:rFonts w:ascii="Arial" w:hAnsi="Arial" w:cs="Arial"/>
          <w:sz w:val="22"/>
          <w:szCs w:val="22"/>
          <w:lang w:val="en-GB"/>
        </w:rPr>
      </w:pPr>
      <w:r>
        <w:rPr>
          <w:rFonts w:ascii="Arial" w:hAnsi="Arial" w:cs="Arial"/>
          <w:sz w:val="22"/>
          <w:szCs w:val="22"/>
          <w:lang w:val="en-GB"/>
        </w:rPr>
        <w:t>M4V 1P5</w:t>
      </w:r>
    </w:p>
    <w:p w:rsidR="00E31C11" w:rsidRDefault="00E31C11" w:rsidP="00700B05">
      <w:pPr>
        <w:widowControl/>
        <w:tabs>
          <w:tab w:val="left" w:pos="-4050"/>
          <w:tab w:val="left" w:pos="-3060"/>
          <w:tab w:val="left" w:pos="-2970"/>
          <w:tab w:val="left" w:pos="-1350"/>
          <w:tab w:val="left" w:pos="-900"/>
          <w:tab w:val="left" w:pos="-630"/>
          <w:tab w:val="left" w:pos="-450"/>
          <w:tab w:val="left" w:pos="0"/>
          <w:tab w:val="left" w:pos="720"/>
          <w:tab w:val="right" w:pos="9360"/>
        </w:tabs>
        <w:jc w:val="both"/>
        <w:rPr>
          <w:rFonts w:ascii="Arial" w:hAnsi="Arial" w:cs="Arial"/>
          <w:sz w:val="22"/>
          <w:szCs w:val="22"/>
          <w:lang w:val="en-GB"/>
        </w:rPr>
      </w:pPr>
      <w:r>
        <w:rPr>
          <w:rFonts w:ascii="Arial" w:hAnsi="Arial" w:cs="Arial"/>
          <w:sz w:val="22"/>
          <w:szCs w:val="22"/>
          <w:lang w:val="en-GB"/>
        </w:rPr>
        <w:t>Tel: 416-314-6523</w:t>
      </w:r>
    </w:p>
    <w:p w:rsidR="00E31C11" w:rsidRPr="000D7AD8" w:rsidRDefault="00E31C11" w:rsidP="00700B05">
      <w:pPr>
        <w:widowControl/>
        <w:tabs>
          <w:tab w:val="left" w:pos="-4050"/>
          <w:tab w:val="left" w:pos="-3060"/>
          <w:tab w:val="left" w:pos="-2970"/>
          <w:tab w:val="left" w:pos="-1350"/>
          <w:tab w:val="left" w:pos="-900"/>
          <w:tab w:val="left" w:pos="-630"/>
          <w:tab w:val="left" w:pos="-450"/>
          <w:tab w:val="left" w:pos="0"/>
          <w:tab w:val="left" w:pos="720"/>
          <w:tab w:val="right" w:pos="9360"/>
        </w:tabs>
        <w:jc w:val="both"/>
        <w:rPr>
          <w:rFonts w:ascii="Arial" w:hAnsi="Arial" w:cs="Arial"/>
          <w:sz w:val="22"/>
          <w:szCs w:val="22"/>
          <w:lang w:val="fr-FR"/>
        </w:rPr>
      </w:pPr>
      <w:r w:rsidRPr="000D7AD8">
        <w:rPr>
          <w:rFonts w:ascii="Arial" w:hAnsi="Arial" w:cs="Arial"/>
          <w:sz w:val="22"/>
          <w:szCs w:val="22"/>
          <w:lang w:val="fr-FR"/>
        </w:rPr>
        <w:t>Fax:</w:t>
      </w:r>
      <w:r>
        <w:rPr>
          <w:rFonts w:ascii="Arial" w:hAnsi="Arial" w:cs="Arial"/>
          <w:sz w:val="22"/>
          <w:szCs w:val="22"/>
          <w:lang w:val="fr-FR"/>
        </w:rPr>
        <w:t xml:space="preserve"> </w:t>
      </w:r>
      <w:r w:rsidRPr="000D7AD8">
        <w:rPr>
          <w:rFonts w:ascii="Arial" w:hAnsi="Arial" w:cs="Arial"/>
          <w:sz w:val="22"/>
          <w:szCs w:val="22"/>
          <w:lang w:val="fr-FR"/>
        </w:rPr>
        <w:t>416-314-6579</w:t>
      </w:r>
    </w:p>
    <w:p w:rsidR="00E31C11" w:rsidRPr="000D7AD8" w:rsidRDefault="00E31C11" w:rsidP="00700B05">
      <w:pPr>
        <w:widowControl/>
        <w:tabs>
          <w:tab w:val="left" w:pos="-4050"/>
          <w:tab w:val="left" w:pos="-3060"/>
          <w:tab w:val="left" w:pos="-2970"/>
          <w:tab w:val="left" w:pos="-1350"/>
          <w:tab w:val="left" w:pos="-900"/>
          <w:tab w:val="left" w:pos="-630"/>
          <w:tab w:val="left" w:pos="-450"/>
          <w:tab w:val="left" w:pos="0"/>
          <w:tab w:val="left" w:pos="720"/>
          <w:tab w:val="right" w:pos="9360"/>
        </w:tabs>
        <w:jc w:val="both"/>
        <w:rPr>
          <w:rFonts w:ascii="Arial" w:hAnsi="Arial" w:cs="Arial"/>
          <w:sz w:val="22"/>
          <w:szCs w:val="22"/>
          <w:lang w:val="fr-FR"/>
        </w:rPr>
      </w:pPr>
      <w:r w:rsidRPr="000D7AD8">
        <w:rPr>
          <w:rFonts w:ascii="Arial" w:hAnsi="Arial" w:cs="Arial"/>
          <w:sz w:val="22"/>
          <w:szCs w:val="22"/>
          <w:lang w:val="fr-FR"/>
        </w:rPr>
        <w:t xml:space="preserve">Email: </w:t>
      </w:r>
      <w:hyperlink r:id="rId15" w:history="1">
        <w:r w:rsidRPr="000D7AD8">
          <w:rPr>
            <w:rStyle w:val="Hyperlink"/>
            <w:rFonts w:ascii="Arial" w:hAnsi="Arial" w:cs="Arial"/>
            <w:sz w:val="22"/>
            <w:szCs w:val="22"/>
            <w:lang w:val="fr-FR"/>
          </w:rPr>
          <w:t>Justin.jacob@ontario.ca</w:t>
        </w:r>
      </w:hyperlink>
    </w:p>
    <w:p w:rsidR="00E31C11" w:rsidRPr="000D7AD8" w:rsidRDefault="00E31C11" w:rsidP="00700B05">
      <w:pPr>
        <w:widowControl/>
        <w:tabs>
          <w:tab w:val="left" w:pos="-4050"/>
          <w:tab w:val="left" w:pos="-3060"/>
          <w:tab w:val="left" w:pos="-2970"/>
          <w:tab w:val="left" w:pos="-1350"/>
          <w:tab w:val="left" w:pos="-900"/>
          <w:tab w:val="left" w:pos="-630"/>
          <w:tab w:val="left" w:pos="-450"/>
          <w:tab w:val="left" w:pos="0"/>
          <w:tab w:val="left" w:pos="720"/>
          <w:tab w:val="right" w:pos="9360"/>
        </w:tabs>
        <w:jc w:val="both"/>
        <w:rPr>
          <w:rFonts w:ascii="Arial" w:hAnsi="Arial" w:cs="Arial"/>
          <w:sz w:val="22"/>
          <w:szCs w:val="22"/>
          <w:lang w:val="fr-FR"/>
        </w:rPr>
      </w:pPr>
    </w:p>
    <w:p w:rsidR="00E31C11" w:rsidRPr="000D7AD8" w:rsidRDefault="00E31C11" w:rsidP="00700B05">
      <w:pPr>
        <w:widowControl/>
        <w:tabs>
          <w:tab w:val="left" w:pos="-4050"/>
          <w:tab w:val="left" w:pos="-3060"/>
          <w:tab w:val="left" w:pos="-2970"/>
          <w:tab w:val="left" w:pos="-1350"/>
          <w:tab w:val="left" w:pos="-900"/>
          <w:tab w:val="left" w:pos="-630"/>
          <w:tab w:val="left" w:pos="-450"/>
          <w:tab w:val="left" w:pos="0"/>
          <w:tab w:val="left" w:pos="720"/>
          <w:tab w:val="right" w:pos="9360"/>
        </w:tabs>
        <w:jc w:val="both"/>
        <w:rPr>
          <w:rFonts w:ascii="Arial" w:hAnsi="Arial" w:cs="Arial"/>
          <w:sz w:val="22"/>
          <w:szCs w:val="22"/>
          <w:lang w:val="fr-FR"/>
        </w:rPr>
      </w:pPr>
    </w:p>
    <w:p w:rsidR="00E31C11" w:rsidRPr="00DB3948" w:rsidRDefault="00E31C11" w:rsidP="000D7AD8">
      <w:pPr>
        <w:pStyle w:val="Style2"/>
        <w:adjustRightInd/>
        <w:ind w:right="4320"/>
        <w:rPr>
          <w:rFonts w:ascii="Arial" w:hAnsi="Arial" w:cs="Arial"/>
          <w:b/>
          <w:bCs/>
          <w:sz w:val="21"/>
          <w:szCs w:val="21"/>
          <w:lang w:val="fr-FR"/>
        </w:rPr>
      </w:pPr>
      <w:r w:rsidRPr="00DB3948">
        <w:rPr>
          <w:rFonts w:ascii="Arial" w:hAnsi="Arial" w:cs="Arial"/>
          <w:b/>
          <w:bCs/>
          <w:sz w:val="21"/>
          <w:szCs w:val="21"/>
          <w:lang w:val="fr-FR"/>
        </w:rPr>
        <w:t>Paul De Medeiros</w:t>
      </w:r>
    </w:p>
    <w:p w:rsidR="00E31C11" w:rsidRPr="00DB3948" w:rsidRDefault="00E31C11" w:rsidP="000D7AD8">
      <w:pPr>
        <w:pStyle w:val="Style2"/>
        <w:adjustRightInd/>
        <w:ind w:right="4320"/>
        <w:rPr>
          <w:rFonts w:ascii="Arial" w:hAnsi="Arial" w:cs="Arial"/>
          <w:sz w:val="21"/>
          <w:szCs w:val="21"/>
          <w:lang w:val="fr-FR"/>
        </w:rPr>
      </w:pPr>
      <w:r w:rsidRPr="00DB3948">
        <w:rPr>
          <w:rFonts w:ascii="Arial" w:hAnsi="Arial" w:cs="Arial"/>
          <w:b/>
          <w:sz w:val="21"/>
          <w:szCs w:val="21"/>
          <w:lang w:val="fr-FR"/>
        </w:rPr>
        <w:t>Case Coordinator</w:t>
      </w:r>
      <w:r w:rsidRPr="00DB3948">
        <w:rPr>
          <w:rFonts w:ascii="Arial" w:hAnsi="Arial" w:cs="Arial"/>
          <w:sz w:val="21"/>
          <w:szCs w:val="21"/>
          <w:lang w:val="fr-FR"/>
        </w:rPr>
        <w:t xml:space="preserve"> </w:t>
      </w:r>
    </w:p>
    <w:p w:rsidR="00E31C11" w:rsidRPr="00DB3948" w:rsidRDefault="00E31C11" w:rsidP="000D7AD8">
      <w:pPr>
        <w:pStyle w:val="Style2"/>
        <w:adjustRightInd/>
        <w:ind w:right="4320"/>
        <w:rPr>
          <w:rFonts w:ascii="Arial" w:hAnsi="Arial" w:cs="Arial"/>
          <w:sz w:val="21"/>
          <w:szCs w:val="21"/>
          <w:lang w:val="fr-FR"/>
        </w:rPr>
      </w:pPr>
      <w:r w:rsidRPr="00DB3948">
        <w:rPr>
          <w:rFonts w:ascii="Arial" w:hAnsi="Arial" w:cs="Arial"/>
          <w:sz w:val="21"/>
          <w:szCs w:val="21"/>
          <w:lang w:val="fr-FR"/>
        </w:rPr>
        <w:t>Environmental Review Tribunal</w:t>
      </w:r>
    </w:p>
    <w:p w:rsidR="00E31C11" w:rsidRPr="00DB3948" w:rsidRDefault="00E31C11" w:rsidP="000D7AD8">
      <w:pPr>
        <w:pStyle w:val="Style1"/>
        <w:adjustRightInd/>
        <w:rPr>
          <w:rStyle w:val="CharacterStyle1"/>
          <w:rFonts w:ascii="Arial" w:hAnsi="Arial" w:cs="Arial"/>
          <w:sz w:val="21"/>
          <w:szCs w:val="21"/>
          <w:lang w:val="fr-FR"/>
        </w:rPr>
      </w:pPr>
      <w:r w:rsidRPr="00DB3948">
        <w:rPr>
          <w:rStyle w:val="CharacterStyle1"/>
          <w:rFonts w:ascii="Arial" w:hAnsi="Arial" w:cs="Arial"/>
          <w:sz w:val="21"/>
          <w:szCs w:val="21"/>
          <w:lang w:val="fr-FR"/>
        </w:rPr>
        <w:t>Environment and Land Tribunals Ontario</w:t>
      </w:r>
    </w:p>
    <w:p w:rsidR="00E31C11" w:rsidRPr="00DB3948" w:rsidRDefault="00E31C11" w:rsidP="000D7AD8">
      <w:pPr>
        <w:pStyle w:val="Style2"/>
        <w:adjustRightInd/>
        <w:ind w:right="5112"/>
        <w:rPr>
          <w:rFonts w:ascii="Arial" w:hAnsi="Arial" w:cs="Arial"/>
          <w:sz w:val="21"/>
          <w:szCs w:val="21"/>
          <w:lang w:val="fr-FR"/>
        </w:rPr>
      </w:pPr>
      <w:r w:rsidRPr="00DB3948">
        <w:rPr>
          <w:rFonts w:ascii="Arial" w:hAnsi="Arial" w:cs="Arial"/>
          <w:sz w:val="21"/>
          <w:szCs w:val="21"/>
          <w:lang w:val="fr-FR"/>
        </w:rPr>
        <w:t xml:space="preserve">655 Bay St., Suite 1500 </w:t>
      </w:r>
    </w:p>
    <w:p w:rsidR="00E31C11" w:rsidRPr="00DB3948" w:rsidRDefault="00E31C11" w:rsidP="000D7AD8">
      <w:pPr>
        <w:pStyle w:val="Style2"/>
        <w:adjustRightInd/>
        <w:ind w:right="5112"/>
        <w:rPr>
          <w:rFonts w:ascii="Arial" w:hAnsi="Arial" w:cs="Arial"/>
          <w:sz w:val="21"/>
          <w:szCs w:val="21"/>
          <w:lang w:val="fr-FR"/>
        </w:rPr>
      </w:pPr>
      <w:r w:rsidRPr="00DB3948">
        <w:rPr>
          <w:rFonts w:ascii="Arial" w:hAnsi="Arial" w:cs="Arial"/>
          <w:sz w:val="21"/>
          <w:szCs w:val="21"/>
          <w:lang w:val="fr-FR"/>
        </w:rPr>
        <w:t>Toronto, Ontario</w:t>
      </w:r>
    </w:p>
    <w:p w:rsidR="00E31C11" w:rsidRPr="00DB3948" w:rsidRDefault="00E31C11" w:rsidP="000D7AD8">
      <w:pPr>
        <w:pStyle w:val="Style2"/>
        <w:adjustRightInd/>
        <w:ind w:right="5112"/>
        <w:rPr>
          <w:rFonts w:ascii="Arial" w:hAnsi="Arial" w:cs="Arial"/>
          <w:sz w:val="21"/>
          <w:szCs w:val="21"/>
          <w:lang w:val="fr-FR"/>
        </w:rPr>
      </w:pPr>
      <w:r w:rsidRPr="00DB3948">
        <w:rPr>
          <w:rFonts w:ascii="Arial" w:hAnsi="Arial" w:cs="Arial"/>
          <w:sz w:val="21"/>
          <w:szCs w:val="21"/>
          <w:lang w:val="fr-FR"/>
        </w:rPr>
        <w:t xml:space="preserve">M5G 1E5 </w:t>
      </w:r>
    </w:p>
    <w:p w:rsidR="00E31C11" w:rsidRPr="00DB3948" w:rsidRDefault="00E31C11" w:rsidP="000D7AD8">
      <w:pPr>
        <w:pStyle w:val="Style2"/>
        <w:adjustRightInd/>
        <w:ind w:right="5112"/>
        <w:rPr>
          <w:rFonts w:ascii="Arial" w:hAnsi="Arial" w:cs="Arial"/>
          <w:sz w:val="21"/>
          <w:szCs w:val="21"/>
          <w:lang w:val="fr-FR"/>
        </w:rPr>
      </w:pPr>
      <w:r w:rsidRPr="00DB3948">
        <w:rPr>
          <w:rFonts w:ascii="Arial" w:hAnsi="Arial" w:cs="Arial"/>
          <w:sz w:val="21"/>
          <w:szCs w:val="21"/>
          <w:lang w:val="fr-FR"/>
        </w:rPr>
        <w:t xml:space="preserve">Tel: 416 314-4600 </w:t>
      </w:r>
    </w:p>
    <w:p w:rsidR="00E31C11" w:rsidRPr="00DB3948" w:rsidRDefault="00E31C11" w:rsidP="000D7AD8">
      <w:pPr>
        <w:pStyle w:val="Style2"/>
        <w:adjustRightInd/>
        <w:ind w:right="5112"/>
        <w:rPr>
          <w:rFonts w:ascii="Arial" w:hAnsi="Arial" w:cs="Arial"/>
          <w:sz w:val="21"/>
          <w:szCs w:val="21"/>
          <w:lang w:val="fr-FR"/>
        </w:rPr>
      </w:pPr>
      <w:r w:rsidRPr="00DB3948">
        <w:rPr>
          <w:rFonts w:ascii="Arial" w:hAnsi="Arial" w:cs="Arial"/>
          <w:sz w:val="21"/>
          <w:szCs w:val="21"/>
          <w:lang w:val="fr-FR"/>
        </w:rPr>
        <w:t>Fax: (416) 314-4506</w:t>
      </w:r>
    </w:p>
    <w:p w:rsidR="00E31C11" w:rsidRPr="00DB3948" w:rsidRDefault="00E31C11" w:rsidP="000D7AD8">
      <w:pPr>
        <w:pStyle w:val="Style2"/>
        <w:adjustRightInd/>
        <w:rPr>
          <w:rFonts w:ascii="Arial" w:hAnsi="Arial" w:cs="Arial"/>
          <w:sz w:val="21"/>
          <w:szCs w:val="21"/>
          <w:u w:val="single"/>
          <w:lang w:val="fr-FR"/>
        </w:rPr>
      </w:pPr>
      <w:r w:rsidRPr="00DB3948">
        <w:rPr>
          <w:rFonts w:ascii="Arial" w:hAnsi="Arial" w:cs="Arial"/>
          <w:sz w:val="21"/>
          <w:szCs w:val="21"/>
          <w:lang w:val="fr-FR"/>
        </w:rPr>
        <w:t xml:space="preserve">Email: </w:t>
      </w:r>
      <w:hyperlink r:id="rId16" w:history="1">
        <w:r w:rsidRPr="00DB3948">
          <w:rPr>
            <w:rStyle w:val="Hyperlink"/>
            <w:rFonts w:ascii="Arial" w:hAnsi="Arial" w:cs="Arial"/>
            <w:sz w:val="21"/>
            <w:szCs w:val="21"/>
            <w:lang w:val="fr-FR"/>
          </w:rPr>
          <w:t>paul.demedeiros@ontario.ca</w:t>
        </w:r>
      </w:hyperlink>
    </w:p>
    <w:p w:rsidR="00E31C11" w:rsidRPr="00DB3948" w:rsidRDefault="00E31C11" w:rsidP="000D7AD8">
      <w:pPr>
        <w:pStyle w:val="Style2"/>
        <w:adjustRightInd/>
        <w:rPr>
          <w:rFonts w:ascii="Arial" w:hAnsi="Arial" w:cs="Arial"/>
          <w:sz w:val="21"/>
          <w:szCs w:val="21"/>
          <w:u w:val="single"/>
          <w:lang w:val="fr-FR"/>
        </w:rPr>
      </w:pPr>
    </w:p>
    <w:p w:rsidR="00E31C11" w:rsidRPr="00DB3948" w:rsidRDefault="00E31C11" w:rsidP="000D7AD8">
      <w:pPr>
        <w:pStyle w:val="Style2"/>
        <w:adjustRightInd/>
        <w:rPr>
          <w:rFonts w:ascii="Arial" w:hAnsi="Arial" w:cs="Arial"/>
          <w:b/>
          <w:bCs/>
          <w:sz w:val="21"/>
          <w:szCs w:val="21"/>
          <w:lang w:val="fr-FR"/>
        </w:rPr>
      </w:pPr>
    </w:p>
    <w:p w:rsidR="00E31C11" w:rsidRPr="000D7AD8" w:rsidRDefault="00E31C11" w:rsidP="000D7AD8">
      <w:pPr>
        <w:pStyle w:val="Style2"/>
        <w:adjustRightInd/>
        <w:rPr>
          <w:rFonts w:ascii="Arial" w:hAnsi="Arial" w:cs="Arial"/>
          <w:b/>
          <w:bCs/>
          <w:sz w:val="21"/>
          <w:szCs w:val="21"/>
        </w:rPr>
      </w:pPr>
      <w:r w:rsidRPr="000D7AD8">
        <w:rPr>
          <w:rFonts w:ascii="Arial" w:hAnsi="Arial" w:cs="Arial"/>
          <w:b/>
          <w:bCs/>
          <w:sz w:val="21"/>
          <w:szCs w:val="21"/>
        </w:rPr>
        <w:t>Charles Hatt</w:t>
      </w:r>
    </w:p>
    <w:p w:rsidR="00E31C11" w:rsidRDefault="00E31C11" w:rsidP="000D7AD8">
      <w:pPr>
        <w:pStyle w:val="Style1"/>
        <w:adjustRightInd/>
        <w:rPr>
          <w:rStyle w:val="CharacterStyle1"/>
          <w:rFonts w:ascii="Arial" w:hAnsi="Arial" w:cs="Arial"/>
          <w:sz w:val="21"/>
          <w:szCs w:val="21"/>
        </w:rPr>
      </w:pPr>
      <w:r w:rsidRPr="000D7AD8">
        <w:rPr>
          <w:rStyle w:val="CharacterStyle1"/>
          <w:rFonts w:ascii="Arial" w:hAnsi="Arial" w:cs="Arial"/>
          <w:sz w:val="21"/>
          <w:szCs w:val="21"/>
        </w:rPr>
        <w:t>Ecojustice</w:t>
      </w:r>
      <w:r>
        <w:rPr>
          <w:rStyle w:val="CharacterStyle1"/>
          <w:rFonts w:ascii="Arial" w:hAnsi="Arial" w:cs="Arial"/>
          <w:sz w:val="21"/>
          <w:szCs w:val="21"/>
        </w:rPr>
        <w:t>,</w:t>
      </w:r>
      <w:r w:rsidRPr="000D7AD8">
        <w:rPr>
          <w:rStyle w:val="CharacterStyle1"/>
          <w:rFonts w:ascii="Arial" w:hAnsi="Arial" w:cs="Arial"/>
          <w:sz w:val="21"/>
          <w:szCs w:val="21"/>
        </w:rPr>
        <w:t xml:space="preserve"> counsel for Wellington </w:t>
      </w:r>
      <w:r>
        <w:rPr>
          <w:rStyle w:val="CharacterStyle1"/>
          <w:rFonts w:ascii="Arial" w:hAnsi="Arial" w:cs="Arial"/>
          <w:sz w:val="21"/>
          <w:szCs w:val="21"/>
        </w:rPr>
        <w:t>W</w:t>
      </w:r>
      <w:r w:rsidRPr="000D7AD8">
        <w:rPr>
          <w:rStyle w:val="CharacterStyle1"/>
          <w:rFonts w:ascii="Arial" w:hAnsi="Arial" w:cs="Arial"/>
          <w:sz w:val="21"/>
          <w:szCs w:val="21"/>
        </w:rPr>
        <w:t>ater Watchers &amp; Counci</w:t>
      </w:r>
      <w:r>
        <w:rPr>
          <w:rStyle w:val="CharacterStyle1"/>
          <w:rFonts w:ascii="Arial" w:hAnsi="Arial" w:cs="Arial"/>
          <w:sz w:val="21"/>
          <w:szCs w:val="21"/>
        </w:rPr>
        <w:t>l</w:t>
      </w:r>
      <w:r w:rsidRPr="000D7AD8">
        <w:rPr>
          <w:rStyle w:val="CharacterStyle1"/>
          <w:rFonts w:ascii="Arial" w:hAnsi="Arial" w:cs="Arial"/>
          <w:sz w:val="21"/>
          <w:szCs w:val="21"/>
        </w:rPr>
        <w:t xml:space="preserve"> of Canadians</w:t>
      </w:r>
    </w:p>
    <w:p w:rsidR="00E31C11" w:rsidRPr="000D7AD8" w:rsidRDefault="00E31C11" w:rsidP="000D7AD8">
      <w:pPr>
        <w:pStyle w:val="Style1"/>
        <w:adjustRightInd/>
        <w:rPr>
          <w:rStyle w:val="CharacterStyle1"/>
          <w:rFonts w:ascii="Arial" w:hAnsi="Arial" w:cs="Arial"/>
          <w:sz w:val="21"/>
          <w:szCs w:val="21"/>
        </w:rPr>
      </w:pPr>
      <w:r w:rsidRPr="000D7AD8">
        <w:rPr>
          <w:rStyle w:val="CharacterStyle1"/>
          <w:rFonts w:ascii="Arial" w:hAnsi="Arial" w:cs="Arial"/>
          <w:sz w:val="21"/>
          <w:szCs w:val="21"/>
        </w:rPr>
        <w:t>Centre for Green Cities</w:t>
      </w:r>
    </w:p>
    <w:p w:rsidR="00E31C11" w:rsidRPr="000D7AD8" w:rsidRDefault="00E31C11" w:rsidP="000D7AD8">
      <w:pPr>
        <w:pStyle w:val="Style1"/>
        <w:adjustRightInd/>
        <w:rPr>
          <w:rStyle w:val="CharacterStyle1"/>
          <w:rFonts w:ascii="Arial" w:hAnsi="Arial" w:cs="Arial"/>
          <w:sz w:val="21"/>
          <w:szCs w:val="21"/>
        </w:rPr>
      </w:pPr>
      <w:r w:rsidRPr="000D7AD8">
        <w:rPr>
          <w:rStyle w:val="CharacterStyle1"/>
          <w:rFonts w:ascii="Arial" w:hAnsi="Arial" w:cs="Arial"/>
          <w:sz w:val="21"/>
          <w:szCs w:val="21"/>
        </w:rPr>
        <w:t>550 Bayview Avenue, Suite 401</w:t>
      </w:r>
    </w:p>
    <w:p w:rsidR="00E31C11" w:rsidRDefault="00E31C11" w:rsidP="000D7AD8">
      <w:pPr>
        <w:pStyle w:val="Style1"/>
        <w:adjustRightInd/>
        <w:rPr>
          <w:rStyle w:val="CharacterStyle1"/>
          <w:rFonts w:ascii="Arial" w:hAnsi="Arial" w:cs="Arial"/>
          <w:sz w:val="21"/>
          <w:szCs w:val="21"/>
        </w:rPr>
      </w:pPr>
      <w:r w:rsidRPr="000D7AD8">
        <w:rPr>
          <w:rStyle w:val="CharacterStyle1"/>
          <w:rFonts w:ascii="Arial" w:hAnsi="Arial" w:cs="Arial"/>
          <w:sz w:val="21"/>
          <w:szCs w:val="21"/>
        </w:rPr>
        <w:t>Toronto</w:t>
      </w:r>
      <w:r>
        <w:rPr>
          <w:rStyle w:val="CharacterStyle1"/>
          <w:rFonts w:ascii="Arial" w:hAnsi="Arial" w:cs="Arial"/>
          <w:sz w:val="21"/>
          <w:szCs w:val="21"/>
        </w:rPr>
        <w:t>,</w:t>
      </w:r>
      <w:r w:rsidRPr="000D7AD8">
        <w:rPr>
          <w:rStyle w:val="CharacterStyle1"/>
          <w:rFonts w:ascii="Arial" w:hAnsi="Arial" w:cs="Arial"/>
          <w:sz w:val="21"/>
          <w:szCs w:val="21"/>
        </w:rPr>
        <w:t xml:space="preserve"> O</w:t>
      </w:r>
      <w:r>
        <w:rPr>
          <w:rStyle w:val="CharacterStyle1"/>
          <w:rFonts w:ascii="Arial" w:hAnsi="Arial" w:cs="Arial"/>
          <w:sz w:val="21"/>
          <w:szCs w:val="21"/>
        </w:rPr>
        <w:t>ntario</w:t>
      </w:r>
    </w:p>
    <w:p w:rsidR="00E31C11" w:rsidRPr="000D7AD8" w:rsidRDefault="00E31C11" w:rsidP="000D7AD8">
      <w:pPr>
        <w:pStyle w:val="Style1"/>
        <w:adjustRightInd/>
        <w:rPr>
          <w:rStyle w:val="CharacterStyle1"/>
          <w:rFonts w:ascii="Arial" w:hAnsi="Arial" w:cs="Arial"/>
          <w:sz w:val="21"/>
          <w:szCs w:val="21"/>
        </w:rPr>
      </w:pPr>
      <w:r w:rsidRPr="000D7AD8">
        <w:rPr>
          <w:rStyle w:val="CharacterStyle1"/>
          <w:rFonts w:ascii="Arial" w:hAnsi="Arial" w:cs="Arial"/>
          <w:sz w:val="21"/>
          <w:szCs w:val="21"/>
        </w:rPr>
        <w:t>M4W 3X8</w:t>
      </w:r>
    </w:p>
    <w:p w:rsidR="00E31C11" w:rsidRPr="000D7AD8" w:rsidRDefault="00E31C11" w:rsidP="000D7AD8">
      <w:pPr>
        <w:pStyle w:val="Style1"/>
        <w:adjustRightInd/>
        <w:rPr>
          <w:rStyle w:val="CharacterStyle1"/>
          <w:rFonts w:ascii="Arial" w:hAnsi="Arial" w:cs="Arial"/>
          <w:sz w:val="21"/>
          <w:szCs w:val="21"/>
        </w:rPr>
      </w:pPr>
      <w:r w:rsidRPr="000D7AD8">
        <w:rPr>
          <w:rStyle w:val="CharacterStyle1"/>
          <w:rFonts w:ascii="Arial" w:hAnsi="Arial" w:cs="Arial"/>
          <w:sz w:val="21"/>
          <w:szCs w:val="21"/>
        </w:rPr>
        <w:t>Tel</w:t>
      </w:r>
      <w:r>
        <w:rPr>
          <w:rStyle w:val="CharacterStyle1"/>
          <w:rFonts w:ascii="Arial" w:hAnsi="Arial" w:cs="Arial"/>
          <w:sz w:val="21"/>
          <w:szCs w:val="21"/>
        </w:rPr>
        <w:t>:</w:t>
      </w:r>
      <w:r w:rsidRPr="000D7AD8">
        <w:rPr>
          <w:rStyle w:val="CharacterStyle1"/>
          <w:rFonts w:ascii="Arial" w:hAnsi="Arial" w:cs="Arial"/>
          <w:sz w:val="21"/>
          <w:szCs w:val="21"/>
        </w:rPr>
        <w:t xml:space="preserve"> 41</w:t>
      </w:r>
      <w:r>
        <w:rPr>
          <w:rStyle w:val="CharacterStyle1"/>
          <w:rFonts w:ascii="Arial" w:hAnsi="Arial" w:cs="Arial"/>
          <w:sz w:val="21"/>
          <w:szCs w:val="21"/>
        </w:rPr>
        <w:t>6-</w:t>
      </w:r>
      <w:r w:rsidRPr="000D7AD8">
        <w:rPr>
          <w:rStyle w:val="CharacterStyle1"/>
          <w:rFonts w:ascii="Arial" w:hAnsi="Arial" w:cs="Arial"/>
          <w:sz w:val="21"/>
          <w:szCs w:val="21"/>
        </w:rPr>
        <w:t>368</w:t>
      </w:r>
      <w:r>
        <w:rPr>
          <w:rStyle w:val="CharacterStyle1"/>
          <w:rFonts w:ascii="Arial" w:hAnsi="Arial" w:cs="Arial"/>
          <w:sz w:val="21"/>
          <w:szCs w:val="21"/>
        </w:rPr>
        <w:t>-7</w:t>
      </w:r>
      <w:r w:rsidRPr="000D7AD8">
        <w:rPr>
          <w:rStyle w:val="CharacterStyle1"/>
          <w:rFonts w:ascii="Arial" w:hAnsi="Arial" w:cs="Arial"/>
          <w:sz w:val="21"/>
          <w:szCs w:val="21"/>
        </w:rPr>
        <w:t>533 ext. 524</w:t>
      </w:r>
    </w:p>
    <w:p w:rsidR="00E31C11" w:rsidRPr="000D7AD8" w:rsidRDefault="00E31C11" w:rsidP="000D7AD8">
      <w:pPr>
        <w:pStyle w:val="Style2"/>
        <w:adjustRightInd/>
        <w:rPr>
          <w:rFonts w:ascii="Arial" w:hAnsi="Arial" w:cs="Arial"/>
          <w:sz w:val="21"/>
          <w:szCs w:val="21"/>
        </w:rPr>
      </w:pPr>
      <w:r w:rsidRPr="000D7AD8">
        <w:rPr>
          <w:rFonts w:ascii="Arial" w:hAnsi="Arial" w:cs="Arial"/>
          <w:sz w:val="21"/>
          <w:szCs w:val="21"/>
        </w:rPr>
        <w:t>Fax: 416</w:t>
      </w:r>
      <w:r>
        <w:rPr>
          <w:rFonts w:ascii="Arial" w:hAnsi="Arial" w:cs="Arial"/>
          <w:sz w:val="21"/>
          <w:szCs w:val="21"/>
        </w:rPr>
        <w:t>-</w:t>
      </w:r>
      <w:r w:rsidRPr="000D7AD8">
        <w:rPr>
          <w:rFonts w:ascii="Arial" w:hAnsi="Arial" w:cs="Arial"/>
          <w:sz w:val="21"/>
          <w:szCs w:val="21"/>
        </w:rPr>
        <w:t>363</w:t>
      </w:r>
      <w:r>
        <w:rPr>
          <w:rFonts w:ascii="Arial" w:hAnsi="Arial" w:cs="Arial"/>
          <w:sz w:val="21"/>
          <w:szCs w:val="21"/>
        </w:rPr>
        <w:t>-</w:t>
      </w:r>
      <w:r w:rsidRPr="000D7AD8">
        <w:rPr>
          <w:rFonts w:ascii="Arial" w:hAnsi="Arial" w:cs="Arial"/>
          <w:sz w:val="21"/>
          <w:szCs w:val="21"/>
        </w:rPr>
        <w:t xml:space="preserve">2746 </w:t>
      </w:r>
    </w:p>
    <w:p w:rsidR="00E31C11" w:rsidRDefault="00E31C11" w:rsidP="000D7AD8">
      <w:pPr>
        <w:pStyle w:val="Style2"/>
        <w:adjustRightInd/>
        <w:rPr>
          <w:rFonts w:ascii="Arial" w:hAnsi="Arial" w:cs="Arial"/>
          <w:sz w:val="21"/>
          <w:szCs w:val="21"/>
        </w:rPr>
      </w:pPr>
      <w:r w:rsidRPr="000D7AD8">
        <w:rPr>
          <w:rFonts w:ascii="Arial" w:hAnsi="Arial" w:cs="Arial"/>
          <w:sz w:val="21"/>
          <w:szCs w:val="21"/>
        </w:rPr>
        <w:t>Em</w:t>
      </w:r>
      <w:r>
        <w:rPr>
          <w:rFonts w:ascii="Arial" w:hAnsi="Arial" w:cs="Arial"/>
          <w:sz w:val="21"/>
          <w:szCs w:val="21"/>
        </w:rPr>
        <w:t>ail</w:t>
      </w:r>
      <w:r w:rsidRPr="000D7AD8">
        <w:rPr>
          <w:rFonts w:ascii="Arial" w:hAnsi="Arial" w:cs="Arial"/>
          <w:sz w:val="21"/>
          <w:szCs w:val="21"/>
        </w:rPr>
        <w:t xml:space="preserve">: </w:t>
      </w:r>
      <w:hyperlink r:id="rId17" w:history="1">
        <w:r w:rsidRPr="00AC3E56">
          <w:rPr>
            <w:rStyle w:val="Hyperlink"/>
            <w:rFonts w:ascii="Arial" w:hAnsi="Arial" w:cs="Arial"/>
            <w:sz w:val="21"/>
            <w:szCs w:val="21"/>
          </w:rPr>
          <w:t>chatt@ecojustice.ca</w:t>
        </w:r>
      </w:hyperlink>
    </w:p>
    <w:p w:rsidR="00E31C11" w:rsidRPr="000D7AD8" w:rsidRDefault="00E31C11" w:rsidP="000D7AD8">
      <w:pPr>
        <w:pStyle w:val="Style2"/>
        <w:adjustRightInd/>
        <w:rPr>
          <w:rFonts w:ascii="Arial" w:hAnsi="Arial" w:cs="Arial"/>
          <w:sz w:val="21"/>
          <w:szCs w:val="21"/>
        </w:rPr>
      </w:pPr>
      <w:r w:rsidRPr="000D7AD8">
        <w:rPr>
          <w:rFonts w:ascii="Arial" w:hAnsi="Arial" w:cs="Arial"/>
          <w:sz w:val="21"/>
          <w:szCs w:val="21"/>
        </w:rPr>
        <w:t xml:space="preserve"> </w:t>
      </w:r>
    </w:p>
    <w:p w:rsidR="00E31C11" w:rsidRDefault="00E31C11" w:rsidP="000D7AD8">
      <w:pPr>
        <w:widowControl/>
        <w:tabs>
          <w:tab w:val="left" w:pos="-4050"/>
          <w:tab w:val="left" w:pos="-3060"/>
          <w:tab w:val="left" w:pos="-2970"/>
          <w:tab w:val="left" w:pos="-1350"/>
          <w:tab w:val="left" w:pos="-900"/>
          <w:tab w:val="left" w:pos="-630"/>
          <w:tab w:val="left" w:pos="-450"/>
          <w:tab w:val="left" w:pos="0"/>
          <w:tab w:val="left" w:pos="720"/>
          <w:tab w:val="right" w:pos="9360"/>
        </w:tabs>
        <w:jc w:val="both"/>
        <w:rPr>
          <w:rFonts w:ascii="Arial" w:hAnsi="Arial" w:cs="Arial"/>
          <w:sz w:val="22"/>
          <w:szCs w:val="22"/>
          <w:lang w:val="en-GB"/>
        </w:rPr>
      </w:pPr>
    </w:p>
    <w:p w:rsidR="00E31C11" w:rsidRDefault="00E31C11" w:rsidP="000D7AD8">
      <w:pPr>
        <w:widowControl/>
        <w:tabs>
          <w:tab w:val="left" w:pos="-4050"/>
          <w:tab w:val="left" w:pos="-3060"/>
          <w:tab w:val="left" w:pos="-2970"/>
          <w:tab w:val="left" w:pos="-1350"/>
          <w:tab w:val="left" w:pos="-900"/>
          <w:tab w:val="left" w:pos="-630"/>
          <w:tab w:val="left" w:pos="-450"/>
          <w:tab w:val="left" w:pos="0"/>
          <w:tab w:val="left" w:pos="720"/>
          <w:tab w:val="right" w:pos="9360"/>
        </w:tabs>
        <w:jc w:val="both"/>
        <w:rPr>
          <w:rFonts w:ascii="Arial" w:hAnsi="Arial" w:cs="Arial"/>
          <w:sz w:val="22"/>
          <w:szCs w:val="22"/>
          <w:lang w:val="en-GB"/>
        </w:rPr>
      </w:pPr>
    </w:p>
    <w:p w:rsidR="00E31C11" w:rsidRDefault="00E31C11" w:rsidP="000D7AD8">
      <w:pPr>
        <w:widowControl/>
        <w:tabs>
          <w:tab w:val="left" w:pos="-4050"/>
          <w:tab w:val="left" w:pos="-3060"/>
          <w:tab w:val="left" w:pos="-2970"/>
          <w:tab w:val="left" w:pos="-1350"/>
          <w:tab w:val="left" w:pos="-900"/>
          <w:tab w:val="left" w:pos="-630"/>
          <w:tab w:val="left" w:pos="-450"/>
          <w:tab w:val="left" w:pos="0"/>
          <w:tab w:val="left" w:pos="720"/>
          <w:tab w:val="right" w:pos="9360"/>
        </w:tabs>
        <w:jc w:val="both"/>
        <w:rPr>
          <w:rFonts w:ascii="Arial" w:hAnsi="Arial" w:cs="Arial"/>
          <w:sz w:val="22"/>
          <w:szCs w:val="22"/>
          <w:lang w:val="en-GB"/>
        </w:rPr>
      </w:pPr>
    </w:p>
    <w:p w:rsidR="00E31C11" w:rsidRDefault="00E31C11" w:rsidP="000D7AD8">
      <w:pPr>
        <w:widowControl/>
        <w:tabs>
          <w:tab w:val="left" w:pos="-4050"/>
          <w:tab w:val="left" w:pos="-3060"/>
          <w:tab w:val="left" w:pos="-2970"/>
          <w:tab w:val="left" w:pos="-1350"/>
          <w:tab w:val="left" w:pos="-900"/>
          <w:tab w:val="left" w:pos="-630"/>
          <w:tab w:val="left" w:pos="-450"/>
          <w:tab w:val="left" w:pos="0"/>
          <w:tab w:val="left" w:pos="720"/>
          <w:tab w:val="right" w:pos="9360"/>
        </w:tabs>
        <w:jc w:val="both"/>
        <w:rPr>
          <w:rFonts w:ascii="Arial" w:hAnsi="Arial" w:cs="Arial"/>
          <w:sz w:val="22"/>
          <w:szCs w:val="22"/>
          <w:lang w:val="en-GB"/>
        </w:rPr>
        <w:sectPr w:rsidR="00E31C11" w:rsidSect="00700B05">
          <w:pgSz w:w="12240" w:h="15840" w:code="1"/>
          <w:pgMar w:top="1440" w:right="1440" w:bottom="1440" w:left="1440" w:header="1008" w:footer="1440" w:gutter="0"/>
          <w:cols w:space="720"/>
          <w:noEndnote/>
          <w:titlePg/>
        </w:sectPr>
      </w:pPr>
    </w:p>
    <w:p w:rsidR="00E31C11" w:rsidRPr="004205A6" w:rsidRDefault="00E31C11" w:rsidP="00E71402">
      <w:pPr>
        <w:pStyle w:val="CorporateAgreement11"/>
        <w:numPr>
          <w:ilvl w:val="0"/>
          <w:numId w:val="0"/>
        </w:numPr>
        <w:rPr>
          <w:u w:val="single"/>
        </w:rPr>
      </w:pPr>
      <w:r w:rsidRPr="004205A6">
        <w:rPr>
          <w:u w:val="single"/>
        </w:rPr>
        <w:lastRenderedPageBreak/>
        <w:t>The Issue Before the Board</w:t>
      </w:r>
    </w:p>
    <w:p w:rsidR="00D52616" w:rsidRDefault="00423420" w:rsidP="00F73C6D">
      <w:pPr>
        <w:pStyle w:val="CorporateAgreement11"/>
        <w:spacing w:line="480" w:lineRule="auto"/>
      </w:pPr>
      <w:r>
        <w:t xml:space="preserve">The Nestle Appeal was and is confined to Conditions 3.4 and 3.5 of the Permit to Take Water </w:t>
      </w:r>
      <w:r w:rsidR="001A7D0F">
        <w:t>(the “PTTW”).</w:t>
      </w:r>
    </w:p>
    <w:p w:rsidR="00423420" w:rsidRDefault="00D52616" w:rsidP="00F73C6D">
      <w:pPr>
        <w:pStyle w:val="CorporateAgreement11"/>
        <w:spacing w:line="480" w:lineRule="auto"/>
      </w:pPr>
      <w:r>
        <w:t>T</w:t>
      </w:r>
      <w:r w:rsidR="00423420">
        <w:t>he Wellington Water Watchers and Council of Canadians (“WWW</w:t>
      </w:r>
      <w:r w:rsidR="00741687">
        <w:t xml:space="preserve"> </w:t>
      </w:r>
      <w:r w:rsidR="00423420">
        <w:t>&amp;</w:t>
      </w:r>
      <w:r w:rsidR="00741687">
        <w:t xml:space="preserve"> </w:t>
      </w:r>
      <w:r w:rsidR="00423420">
        <w:t>CoC”) acknowledged to the Tribunal that ”the issues they would raise in the proceedings would be restricted to the matters pertaining to those two conditions”</w:t>
      </w:r>
      <w:r w:rsidR="001A7D0F">
        <w:t>.</w:t>
      </w:r>
    </w:p>
    <w:p w:rsidR="00423420" w:rsidRPr="00741687" w:rsidRDefault="00423420" w:rsidP="00423420">
      <w:pPr>
        <w:ind w:left="1440"/>
        <w:rPr>
          <w:rFonts w:ascii="Arial" w:hAnsi="Arial" w:cs="Arial"/>
          <w:b/>
          <w:sz w:val="21"/>
          <w:szCs w:val="21"/>
          <w:lang w:val="en-GB"/>
        </w:rPr>
      </w:pPr>
      <w:r w:rsidRPr="00741687">
        <w:rPr>
          <w:rFonts w:ascii="Arial" w:hAnsi="Arial" w:cs="Arial"/>
          <w:b/>
          <w:sz w:val="21"/>
          <w:szCs w:val="21"/>
          <w:lang w:val="en-GB"/>
        </w:rPr>
        <w:t>Reference</w:t>
      </w:r>
      <w:r w:rsidR="00CD4EEC">
        <w:rPr>
          <w:rFonts w:ascii="Arial" w:hAnsi="Arial" w:cs="Arial"/>
          <w:b/>
          <w:sz w:val="21"/>
          <w:szCs w:val="21"/>
          <w:lang w:val="en-GB"/>
        </w:rPr>
        <w:t>:</w:t>
      </w:r>
      <w:r w:rsidRPr="00741687">
        <w:rPr>
          <w:rFonts w:ascii="Arial" w:hAnsi="Arial" w:cs="Arial"/>
          <w:b/>
          <w:sz w:val="21"/>
          <w:szCs w:val="21"/>
          <w:lang w:val="en-GB"/>
        </w:rPr>
        <w:t xml:space="preserve"> Tribunal Decision dated March 25, 2013, Paragraph 52</w:t>
      </w:r>
    </w:p>
    <w:p w:rsidR="00423420" w:rsidRDefault="00423420" w:rsidP="00423420">
      <w:pPr>
        <w:ind w:left="1440"/>
        <w:rPr>
          <w:lang w:val="en-GB"/>
        </w:rPr>
      </w:pPr>
    </w:p>
    <w:p w:rsidR="00D94415" w:rsidRDefault="00D94415" w:rsidP="00CD4EEC">
      <w:pPr>
        <w:pStyle w:val="CorporateAgreement11"/>
        <w:spacing w:after="0" w:line="480" w:lineRule="auto"/>
      </w:pPr>
      <w:r>
        <w:t>Therefore:</w:t>
      </w:r>
    </w:p>
    <w:p w:rsidR="00D94415" w:rsidRDefault="00423420" w:rsidP="00D94415">
      <w:pPr>
        <w:pStyle w:val="CorporateAgreement12"/>
      </w:pPr>
      <w:r>
        <w:t>the levels of water taking permitted under Table A</w:t>
      </w:r>
      <w:r w:rsidR="00D94415">
        <w:t>;</w:t>
      </w:r>
    </w:p>
    <w:p w:rsidR="00D94415" w:rsidRDefault="00423420" w:rsidP="00D94415">
      <w:pPr>
        <w:pStyle w:val="CorporateAgreement12"/>
      </w:pPr>
      <w:r>
        <w:t>the “daily spike rate” permission in Condition 3.2</w:t>
      </w:r>
      <w:r w:rsidR="00D94415">
        <w:t>; and</w:t>
      </w:r>
    </w:p>
    <w:p w:rsidR="00D94415" w:rsidRDefault="00D94415" w:rsidP="00741687">
      <w:pPr>
        <w:pStyle w:val="CorporateAgreement12"/>
        <w:ind w:left="1440" w:hanging="720"/>
      </w:pPr>
      <w:r>
        <w:t>the extent of the monitoring network established for the Erin Well</w:t>
      </w:r>
      <w:r w:rsidR="00741687">
        <w:t xml:space="preserve"> pursuant to Conditions 4.1 and 4.9 </w:t>
      </w:r>
    </w:p>
    <w:p w:rsidR="00D52616" w:rsidRDefault="00741687" w:rsidP="00D52616">
      <w:pPr>
        <w:pStyle w:val="CorporateAgreement12"/>
        <w:numPr>
          <w:ilvl w:val="0"/>
          <w:numId w:val="0"/>
        </w:numPr>
        <w:ind w:left="720"/>
      </w:pPr>
      <w:r>
        <w:t>are not in issue.</w:t>
      </w:r>
    </w:p>
    <w:p w:rsidR="00CD4EEC" w:rsidRPr="00CD4EEC" w:rsidRDefault="00CD4EEC" w:rsidP="00CD4EEC">
      <w:pPr>
        <w:rPr>
          <w:lang w:val="en-GB"/>
        </w:rPr>
      </w:pPr>
    </w:p>
    <w:p w:rsidR="00423420" w:rsidRDefault="00423420" w:rsidP="00FA54AA">
      <w:pPr>
        <w:pStyle w:val="CorporateAgreement11"/>
        <w:spacing w:line="480" w:lineRule="auto"/>
      </w:pPr>
      <w:r>
        <w:t>The sole issue is whether the restrictions and requirements proposed in the Minutes of Settlement as replacements for the appealed Conditions 3.4 and 3.5 should be approved.</w:t>
      </w:r>
    </w:p>
    <w:p w:rsidR="00864A42" w:rsidRPr="00864A42" w:rsidRDefault="00864A42" w:rsidP="00864A42">
      <w:pPr>
        <w:rPr>
          <w:lang w:val="en-GB"/>
        </w:rPr>
      </w:pPr>
    </w:p>
    <w:p w:rsidR="00D52616" w:rsidRDefault="00D52616" w:rsidP="00F73C6D">
      <w:pPr>
        <w:pStyle w:val="CorporateAgreement11"/>
        <w:spacing w:line="480" w:lineRule="auto"/>
      </w:pPr>
      <w:r>
        <w:t>The positions taken by WWW</w:t>
      </w:r>
      <w:r w:rsidR="00741687">
        <w:t xml:space="preserve"> </w:t>
      </w:r>
      <w:r>
        <w:t>&amp;</w:t>
      </w:r>
      <w:r w:rsidR="00741687">
        <w:t xml:space="preserve"> </w:t>
      </w:r>
      <w:r>
        <w:t>CoC at the Preliminary Hearing, as reflected in the Decision of the Tribunal, set up a clear choice between the original conditions and the replacement conditions 3.4 and 3.5 of the Minutes of Settlement:</w:t>
      </w:r>
    </w:p>
    <w:p w:rsidR="00D52616" w:rsidRDefault="00D52616" w:rsidP="00093497">
      <w:pPr>
        <w:pStyle w:val="CorporateAgreement11"/>
        <w:numPr>
          <w:ilvl w:val="0"/>
          <w:numId w:val="0"/>
        </w:numPr>
        <w:spacing w:line="480" w:lineRule="auto"/>
        <w:ind w:left="1440"/>
      </w:pPr>
      <w:r>
        <w:t xml:space="preserve">“COC and WWW both state that they have a genuine public interest in seeing that the </w:t>
      </w:r>
      <w:r w:rsidRPr="00741687">
        <w:rPr>
          <w:u w:val="single"/>
        </w:rPr>
        <w:t>conditions reducing the maximum allowable water taking</w:t>
      </w:r>
      <w:r>
        <w:t xml:space="preserve"> for the permit holder Nestle Canada Inc. (“Nestlé”) </w:t>
      </w:r>
      <w:r w:rsidRPr="00741687">
        <w:rPr>
          <w:u w:val="single"/>
        </w:rPr>
        <w:t>are affirmed</w:t>
      </w:r>
      <w:r>
        <w:t xml:space="preserve">.  They assert that the conditions are an example of a precautionary regulation of consumptive water use which respects the needs of future </w:t>
      </w:r>
      <w:r>
        <w:lastRenderedPageBreak/>
        <w:t>generations.</w:t>
      </w:r>
      <w:r w:rsidR="00FA54AA">
        <w:t xml:space="preserve">  As such they maintain that the issues under appeal are at the core of their organizational objectives and the interests of their supporters.”</w:t>
      </w:r>
      <w:r w:rsidR="00741687">
        <w:t xml:space="preserve"> (emphasis added)</w:t>
      </w:r>
    </w:p>
    <w:p w:rsidR="00093497" w:rsidRPr="00CD4EEC" w:rsidRDefault="00093497" w:rsidP="00CD4EEC">
      <w:pPr>
        <w:jc w:val="center"/>
        <w:rPr>
          <w:rFonts w:ascii="Arial" w:hAnsi="Arial" w:cs="Arial"/>
          <w:b/>
          <w:sz w:val="21"/>
          <w:szCs w:val="21"/>
          <w:lang w:val="en-GB"/>
        </w:rPr>
      </w:pPr>
      <w:r w:rsidRPr="00CD4EEC">
        <w:rPr>
          <w:rFonts w:ascii="Arial" w:hAnsi="Arial" w:cs="Arial"/>
          <w:b/>
          <w:sz w:val="21"/>
          <w:szCs w:val="21"/>
          <w:lang w:val="en-GB"/>
        </w:rPr>
        <w:t>Reference:  Decision</w:t>
      </w:r>
      <w:r w:rsidR="00CD4EEC">
        <w:rPr>
          <w:rFonts w:ascii="Arial" w:hAnsi="Arial" w:cs="Arial"/>
          <w:b/>
          <w:sz w:val="21"/>
          <w:szCs w:val="21"/>
          <w:lang w:val="en-GB"/>
        </w:rPr>
        <w:t>,</w:t>
      </w:r>
      <w:r w:rsidRPr="00CD4EEC">
        <w:rPr>
          <w:rFonts w:ascii="Arial" w:hAnsi="Arial" w:cs="Arial"/>
          <w:b/>
          <w:sz w:val="21"/>
          <w:szCs w:val="21"/>
          <w:lang w:val="en-GB"/>
        </w:rPr>
        <w:t xml:space="preserve"> </w:t>
      </w:r>
      <w:r w:rsidR="00CD4EEC">
        <w:rPr>
          <w:rFonts w:ascii="Arial" w:hAnsi="Arial" w:cs="Arial"/>
          <w:b/>
          <w:sz w:val="21"/>
          <w:szCs w:val="21"/>
          <w:lang w:val="en-GB"/>
        </w:rPr>
        <w:t>para.</w:t>
      </w:r>
      <w:r w:rsidRPr="00CD4EEC">
        <w:rPr>
          <w:rFonts w:ascii="Arial" w:hAnsi="Arial" w:cs="Arial"/>
          <w:b/>
          <w:sz w:val="21"/>
          <w:szCs w:val="21"/>
          <w:lang w:val="en-GB"/>
        </w:rPr>
        <w:t xml:space="preserve"> 20</w:t>
      </w:r>
    </w:p>
    <w:p w:rsidR="00093497" w:rsidRPr="00093497" w:rsidRDefault="00093497" w:rsidP="00093497">
      <w:pPr>
        <w:rPr>
          <w:lang w:val="en-GB"/>
        </w:rPr>
      </w:pPr>
    </w:p>
    <w:p w:rsidR="00CD4EEC" w:rsidRDefault="00FA54AA" w:rsidP="00093497">
      <w:pPr>
        <w:ind w:firstLine="720"/>
      </w:pPr>
      <w:r>
        <w:rPr>
          <w:rFonts w:ascii="Arial" w:hAnsi="Arial" w:cs="Arial"/>
          <w:sz w:val="21"/>
          <w:szCs w:val="21"/>
          <w:lang w:val="en-GB"/>
        </w:rPr>
        <w:t xml:space="preserve"> “…COC and WWW argue </w:t>
      </w:r>
      <w:r w:rsidRPr="00741687">
        <w:rPr>
          <w:rFonts w:ascii="Arial" w:hAnsi="Arial" w:cs="Arial"/>
          <w:sz w:val="21"/>
          <w:szCs w:val="21"/>
          <w:u w:val="single"/>
          <w:lang w:val="en-GB"/>
        </w:rPr>
        <w:t>that they agree with the conditions under appeal</w:t>
      </w:r>
      <w:r>
        <w:rPr>
          <w:rFonts w:ascii="Arial" w:hAnsi="Arial" w:cs="Arial"/>
          <w:sz w:val="21"/>
          <w:szCs w:val="21"/>
          <w:lang w:val="en-GB"/>
        </w:rPr>
        <w:t>”.</w:t>
      </w:r>
      <w:r w:rsidR="00741687" w:rsidRPr="00741687">
        <w:t xml:space="preserve"> </w:t>
      </w:r>
    </w:p>
    <w:p w:rsidR="00FA54AA" w:rsidRPr="00741687" w:rsidRDefault="00741687" w:rsidP="00CD4EEC">
      <w:pPr>
        <w:ind w:firstLine="720"/>
        <w:jc w:val="right"/>
        <w:rPr>
          <w:rFonts w:ascii="Arial" w:hAnsi="Arial" w:cs="Arial"/>
          <w:sz w:val="21"/>
          <w:szCs w:val="21"/>
          <w:lang w:val="en-GB"/>
        </w:rPr>
      </w:pPr>
      <w:r w:rsidRPr="00741687">
        <w:rPr>
          <w:rFonts w:ascii="Arial" w:hAnsi="Arial" w:cs="Arial"/>
          <w:sz w:val="21"/>
          <w:szCs w:val="21"/>
        </w:rPr>
        <w:t>(emphasis added)</w:t>
      </w:r>
    </w:p>
    <w:p w:rsidR="00FA54AA" w:rsidRDefault="00FA54AA" w:rsidP="00FA54AA">
      <w:pPr>
        <w:rPr>
          <w:rFonts w:ascii="Arial" w:hAnsi="Arial" w:cs="Arial"/>
          <w:sz w:val="21"/>
          <w:szCs w:val="21"/>
          <w:lang w:val="en-GB"/>
        </w:rPr>
      </w:pPr>
    </w:p>
    <w:p w:rsidR="00093497" w:rsidRPr="00CD4EEC" w:rsidRDefault="00093497" w:rsidP="00CD4EEC">
      <w:pPr>
        <w:pStyle w:val="CorporateAgreement11"/>
        <w:numPr>
          <w:ilvl w:val="0"/>
          <w:numId w:val="0"/>
        </w:numPr>
        <w:spacing w:line="480" w:lineRule="auto"/>
        <w:ind w:left="90"/>
        <w:jc w:val="center"/>
        <w:rPr>
          <w:b/>
          <w:szCs w:val="21"/>
        </w:rPr>
      </w:pPr>
      <w:r w:rsidRPr="00CD4EEC">
        <w:rPr>
          <w:b/>
          <w:szCs w:val="21"/>
        </w:rPr>
        <w:t xml:space="preserve">Reference:  </w:t>
      </w:r>
      <w:r w:rsidR="00CD4EEC">
        <w:rPr>
          <w:b/>
          <w:szCs w:val="21"/>
        </w:rPr>
        <w:t>Decision, para.</w:t>
      </w:r>
      <w:r w:rsidRPr="00CD4EEC">
        <w:rPr>
          <w:b/>
          <w:szCs w:val="21"/>
        </w:rPr>
        <w:t xml:space="preserve"> 38</w:t>
      </w:r>
    </w:p>
    <w:p w:rsidR="00FA54AA" w:rsidRDefault="00FA54AA" w:rsidP="002C619B">
      <w:pPr>
        <w:pStyle w:val="CorporateAgreement11"/>
        <w:numPr>
          <w:ilvl w:val="0"/>
          <w:numId w:val="0"/>
        </w:numPr>
        <w:spacing w:after="0" w:line="480" w:lineRule="auto"/>
        <w:ind w:left="720"/>
        <w:rPr>
          <w:szCs w:val="21"/>
        </w:rPr>
      </w:pPr>
      <w:r>
        <w:rPr>
          <w:szCs w:val="21"/>
        </w:rPr>
        <w:t xml:space="preserve"> “In their requests for </w:t>
      </w:r>
      <w:r w:rsidRPr="00FA54AA">
        <w:t>status</w:t>
      </w:r>
      <w:r>
        <w:rPr>
          <w:szCs w:val="21"/>
        </w:rPr>
        <w:t xml:space="preserve">, COC and WWW clearly indicate that </w:t>
      </w:r>
      <w:r w:rsidRPr="002C619B">
        <w:rPr>
          <w:szCs w:val="21"/>
          <w:u w:val="single"/>
        </w:rPr>
        <w:t>it is th</w:t>
      </w:r>
      <w:r w:rsidR="00093497" w:rsidRPr="002C619B">
        <w:rPr>
          <w:szCs w:val="21"/>
          <w:u w:val="single"/>
        </w:rPr>
        <w:t>e</w:t>
      </w:r>
      <w:r w:rsidRPr="002C619B">
        <w:rPr>
          <w:szCs w:val="21"/>
          <w:u w:val="single"/>
        </w:rPr>
        <w:t>ir position that these conditions should remain, unaltered, in the PTTW</w:t>
      </w:r>
      <w:r>
        <w:rPr>
          <w:szCs w:val="21"/>
        </w:rPr>
        <w:t>.”</w:t>
      </w:r>
    </w:p>
    <w:p w:rsidR="002C619B" w:rsidRPr="002C619B" w:rsidRDefault="002C619B" w:rsidP="002C619B">
      <w:pPr>
        <w:jc w:val="right"/>
        <w:rPr>
          <w:rFonts w:ascii="Arial" w:hAnsi="Arial" w:cs="Arial"/>
          <w:sz w:val="21"/>
          <w:szCs w:val="21"/>
          <w:lang w:val="en-GB"/>
        </w:rPr>
      </w:pPr>
      <w:r w:rsidRPr="002C619B">
        <w:rPr>
          <w:rFonts w:ascii="Arial" w:hAnsi="Arial" w:cs="Arial"/>
          <w:sz w:val="21"/>
          <w:szCs w:val="21"/>
          <w:lang w:val="en-GB"/>
        </w:rPr>
        <w:t>(emphasis added)</w:t>
      </w:r>
    </w:p>
    <w:p w:rsidR="00093497" w:rsidRPr="00CD4EEC" w:rsidRDefault="00093497" w:rsidP="00CD4EEC">
      <w:pPr>
        <w:jc w:val="center"/>
        <w:rPr>
          <w:rFonts w:ascii="Arial" w:hAnsi="Arial" w:cs="Arial"/>
          <w:b/>
          <w:sz w:val="21"/>
          <w:szCs w:val="21"/>
          <w:lang w:val="en-GB"/>
        </w:rPr>
      </w:pPr>
      <w:r w:rsidRPr="00CD4EEC">
        <w:rPr>
          <w:rFonts w:ascii="Arial" w:hAnsi="Arial" w:cs="Arial"/>
          <w:b/>
          <w:sz w:val="21"/>
          <w:szCs w:val="21"/>
          <w:lang w:val="en-GB"/>
        </w:rPr>
        <w:t>Reference: Decision</w:t>
      </w:r>
      <w:r w:rsidR="00CD4EEC">
        <w:rPr>
          <w:rFonts w:ascii="Arial" w:hAnsi="Arial" w:cs="Arial"/>
          <w:b/>
          <w:sz w:val="21"/>
          <w:szCs w:val="21"/>
          <w:lang w:val="en-GB"/>
        </w:rPr>
        <w:t>,</w:t>
      </w:r>
      <w:r w:rsidRPr="00CD4EEC">
        <w:rPr>
          <w:rFonts w:ascii="Arial" w:hAnsi="Arial" w:cs="Arial"/>
          <w:b/>
          <w:sz w:val="21"/>
          <w:szCs w:val="21"/>
          <w:lang w:val="en-GB"/>
        </w:rPr>
        <w:t xml:space="preserve"> </w:t>
      </w:r>
      <w:r w:rsidR="00CD4EEC">
        <w:rPr>
          <w:rFonts w:ascii="Arial" w:hAnsi="Arial" w:cs="Arial"/>
          <w:b/>
          <w:sz w:val="21"/>
          <w:szCs w:val="21"/>
          <w:lang w:val="en-GB"/>
        </w:rPr>
        <w:t>para.</w:t>
      </w:r>
      <w:r w:rsidRPr="00CD4EEC">
        <w:rPr>
          <w:rFonts w:ascii="Arial" w:hAnsi="Arial" w:cs="Arial"/>
          <w:b/>
          <w:sz w:val="21"/>
          <w:szCs w:val="21"/>
          <w:lang w:val="en-GB"/>
        </w:rPr>
        <w:t xml:space="preserve"> 50</w:t>
      </w:r>
    </w:p>
    <w:p w:rsidR="00093497" w:rsidRPr="00093497" w:rsidRDefault="00093497" w:rsidP="00093497">
      <w:pPr>
        <w:rPr>
          <w:lang w:val="en-GB"/>
        </w:rPr>
      </w:pPr>
    </w:p>
    <w:p w:rsidR="00FA54AA" w:rsidRPr="00FA54AA" w:rsidRDefault="00FA54AA" w:rsidP="00FA54AA">
      <w:pPr>
        <w:rPr>
          <w:lang w:val="en-GB"/>
        </w:rPr>
      </w:pPr>
      <w:r>
        <w:rPr>
          <w:rFonts w:ascii="Arial" w:hAnsi="Arial" w:cs="Arial"/>
          <w:sz w:val="21"/>
          <w:szCs w:val="21"/>
          <w:lang w:val="en-GB"/>
        </w:rPr>
        <w:t xml:space="preserve"> </w:t>
      </w:r>
    </w:p>
    <w:p w:rsidR="00093497" w:rsidRDefault="00890F66" w:rsidP="00F73C6D">
      <w:pPr>
        <w:pStyle w:val="CorporateAgreement11"/>
        <w:spacing w:line="480" w:lineRule="auto"/>
      </w:pPr>
      <w:r>
        <w:t>The framing of the issues to be addressed in this matter was further enunciated in the Decision:</w:t>
      </w:r>
    </w:p>
    <w:p w:rsidR="00890F66" w:rsidRDefault="00890F66" w:rsidP="00890F66">
      <w:pPr>
        <w:ind w:left="1440"/>
        <w:rPr>
          <w:rFonts w:ascii="Arial" w:hAnsi="Arial" w:cs="Arial"/>
          <w:sz w:val="21"/>
          <w:szCs w:val="21"/>
          <w:lang w:val="en-GB"/>
        </w:rPr>
      </w:pPr>
      <w:r w:rsidRPr="00890F66">
        <w:rPr>
          <w:rFonts w:ascii="Arial" w:hAnsi="Arial" w:cs="Arial"/>
          <w:sz w:val="21"/>
          <w:szCs w:val="21"/>
          <w:lang w:val="en-GB"/>
        </w:rPr>
        <w:t>“The Director and Nestlé submit that, if party status is granted, the Tribunal should impose a condition (as it is permitted to do under Rule 62) prohibiting COC and WWW from raising new issues.  The Tribunal does not accept this submission.  Nestle’s appeal is narrowly confined to Conditions 3.4 and 3.5 and the COC and WWW acknowledge that the issues they will raise in these proceedings are matters pertaining only to those two conditions”</w:t>
      </w:r>
    </w:p>
    <w:p w:rsidR="00890F66" w:rsidRPr="00890F66" w:rsidRDefault="00890F66" w:rsidP="00890F66">
      <w:pPr>
        <w:ind w:left="1440"/>
        <w:rPr>
          <w:rFonts w:ascii="Arial" w:hAnsi="Arial" w:cs="Arial"/>
          <w:sz w:val="21"/>
          <w:szCs w:val="21"/>
          <w:lang w:val="en-GB"/>
        </w:rPr>
      </w:pPr>
    </w:p>
    <w:p w:rsidR="00890F66" w:rsidRPr="00890F66" w:rsidRDefault="00890F66" w:rsidP="00890F66">
      <w:pPr>
        <w:ind w:left="720"/>
        <w:rPr>
          <w:lang w:val="en-GB"/>
        </w:rPr>
      </w:pPr>
    </w:p>
    <w:p w:rsidR="00890F66" w:rsidRDefault="00890F66" w:rsidP="00F73C6D">
      <w:pPr>
        <w:pStyle w:val="CorporateAgreement11"/>
        <w:spacing w:line="480" w:lineRule="auto"/>
      </w:pPr>
      <w:r>
        <w:t xml:space="preserve">No order was made because the COC and WWW had assured the Tribunal and the Director and Nestle that the issues were the choice between the </w:t>
      </w:r>
      <w:r w:rsidR="005F70D7">
        <w:t>o</w:t>
      </w:r>
      <w:r>
        <w:t>r</w:t>
      </w:r>
      <w:r w:rsidR="005F70D7">
        <w:t>i</w:t>
      </w:r>
      <w:r>
        <w:t>ginal conditions 3.4 and 3.5 preferred by COC and WWW and the revised versions in the Minutes of Settlement.</w:t>
      </w:r>
    </w:p>
    <w:p w:rsidR="00864A42" w:rsidRDefault="00864A42" w:rsidP="00F73C6D">
      <w:pPr>
        <w:pStyle w:val="CorporateAgreement11"/>
        <w:spacing w:line="480" w:lineRule="auto"/>
      </w:pPr>
      <w:r>
        <w:t xml:space="preserve">As the </w:t>
      </w:r>
      <w:r w:rsidR="00417191">
        <w:t>“</w:t>
      </w:r>
      <w:r>
        <w:t>spike rate</w:t>
      </w:r>
      <w:r w:rsidR="00417191">
        <w:t>” itself</w:t>
      </w:r>
      <w:r>
        <w:t xml:space="preserve"> </w:t>
      </w:r>
      <w:r w:rsidR="00417191">
        <w:t>is</w:t>
      </w:r>
      <w:r>
        <w:t xml:space="preserve"> not in issue, the only area of discussion is the </w:t>
      </w:r>
      <w:r w:rsidR="00890F66">
        <w:t xml:space="preserve">better </w:t>
      </w:r>
      <w:r>
        <w:t>appropriateness of the proposed revised conditions</w:t>
      </w:r>
      <w:r w:rsidR="00BE053A">
        <w:t xml:space="preserve"> 3.4 and 3.5 </w:t>
      </w:r>
      <w:r>
        <w:t xml:space="preserve"> to respond to one event, and one event only: </w:t>
      </w:r>
      <w:r w:rsidR="002C619B">
        <w:t>a</w:t>
      </w:r>
      <w:r>
        <w:t xml:space="preserve"> Low Water Declaration.</w:t>
      </w:r>
    </w:p>
    <w:p w:rsidR="00CD4EEC" w:rsidRDefault="00CD4EEC" w:rsidP="00CD4EEC">
      <w:pPr>
        <w:rPr>
          <w:lang w:val="en-GB"/>
        </w:rPr>
      </w:pPr>
    </w:p>
    <w:p w:rsidR="005F70D7" w:rsidRDefault="005F70D7" w:rsidP="00890F66">
      <w:pPr>
        <w:pStyle w:val="CorporateAgreement11"/>
        <w:numPr>
          <w:ilvl w:val="0"/>
          <w:numId w:val="0"/>
        </w:numPr>
        <w:spacing w:line="480" w:lineRule="auto"/>
        <w:rPr>
          <w:u w:val="single"/>
        </w:rPr>
      </w:pPr>
    </w:p>
    <w:p w:rsidR="00890F66" w:rsidRPr="00417191" w:rsidRDefault="00890F66" w:rsidP="00890F66">
      <w:pPr>
        <w:pStyle w:val="CorporateAgreement11"/>
        <w:numPr>
          <w:ilvl w:val="0"/>
          <w:numId w:val="0"/>
        </w:numPr>
        <w:spacing w:line="480" w:lineRule="auto"/>
        <w:rPr>
          <w:u w:val="single"/>
        </w:rPr>
      </w:pPr>
      <w:r w:rsidRPr="00417191">
        <w:rPr>
          <w:u w:val="single"/>
        </w:rPr>
        <w:lastRenderedPageBreak/>
        <w:t>Low Water Declarations</w:t>
      </w:r>
    </w:p>
    <w:p w:rsidR="00BE053A" w:rsidRDefault="00BE053A" w:rsidP="00A3184B">
      <w:pPr>
        <w:pStyle w:val="CorporateAgreement11"/>
        <w:spacing w:after="0" w:line="480" w:lineRule="auto"/>
      </w:pPr>
      <w:r>
        <w:t xml:space="preserve">Low Water Declarations are issued based on </w:t>
      </w:r>
      <w:r w:rsidR="00A3184B">
        <w:t xml:space="preserve">precipitation and </w:t>
      </w:r>
      <w:r>
        <w:t xml:space="preserve">surface water conditions.  </w:t>
      </w:r>
    </w:p>
    <w:p w:rsidR="00A3184B" w:rsidRDefault="00A3184B" w:rsidP="00A3184B">
      <w:pPr>
        <w:jc w:val="center"/>
        <w:rPr>
          <w:rFonts w:ascii="Arial" w:hAnsi="Arial" w:cs="Arial"/>
          <w:b/>
          <w:sz w:val="20"/>
          <w:szCs w:val="20"/>
          <w:lang w:val="en-GB"/>
        </w:rPr>
      </w:pPr>
      <w:r w:rsidRPr="00A3184B">
        <w:rPr>
          <w:rFonts w:ascii="Arial" w:hAnsi="Arial" w:cs="Arial"/>
          <w:b/>
          <w:sz w:val="20"/>
          <w:szCs w:val="20"/>
          <w:lang w:val="en-GB"/>
        </w:rPr>
        <w:t>Affidavit of Carl Slater, para. 15</w:t>
      </w:r>
    </w:p>
    <w:p w:rsidR="00A3184B" w:rsidRDefault="00A3184B" w:rsidP="00A3184B">
      <w:pPr>
        <w:jc w:val="center"/>
        <w:rPr>
          <w:rFonts w:ascii="Arial" w:hAnsi="Arial" w:cs="Arial"/>
          <w:b/>
          <w:sz w:val="20"/>
          <w:szCs w:val="20"/>
          <w:lang w:val="en-GB"/>
        </w:rPr>
      </w:pPr>
      <w:r>
        <w:rPr>
          <w:rFonts w:ascii="Arial" w:hAnsi="Arial" w:cs="Arial"/>
          <w:b/>
          <w:sz w:val="20"/>
          <w:szCs w:val="20"/>
          <w:lang w:val="en-GB"/>
        </w:rPr>
        <w:t>Affidavit of Greg Pucovsky, para. 10</w:t>
      </w:r>
    </w:p>
    <w:p w:rsidR="00A3184B" w:rsidRPr="00A3184B" w:rsidRDefault="00A3184B" w:rsidP="00A3184B">
      <w:pPr>
        <w:jc w:val="center"/>
        <w:rPr>
          <w:rFonts w:ascii="Arial" w:hAnsi="Arial" w:cs="Arial"/>
          <w:b/>
          <w:sz w:val="20"/>
          <w:szCs w:val="20"/>
          <w:lang w:val="en-GB"/>
        </w:rPr>
      </w:pPr>
    </w:p>
    <w:p w:rsidR="00A3184B" w:rsidRPr="00A3184B" w:rsidRDefault="00A3184B" w:rsidP="00A3184B">
      <w:pPr>
        <w:rPr>
          <w:lang w:val="en-GB"/>
        </w:rPr>
      </w:pPr>
    </w:p>
    <w:p w:rsidR="00890F66" w:rsidRPr="00890F66" w:rsidRDefault="00890F66" w:rsidP="00417191">
      <w:pPr>
        <w:pStyle w:val="CorporateAgreement11"/>
        <w:spacing w:line="480" w:lineRule="auto"/>
      </w:pPr>
      <w:r>
        <w:t>To the extent that the submissions of WWW</w:t>
      </w:r>
      <w:r w:rsidR="00417191">
        <w:t xml:space="preserve"> </w:t>
      </w:r>
      <w:r>
        <w:t>&amp;</w:t>
      </w:r>
      <w:r w:rsidR="00417191">
        <w:t xml:space="preserve"> </w:t>
      </w:r>
      <w:r>
        <w:t>CoC reflect concerns about the nature of Ontario’s Low Water Response Plan, such concerns lie far outside the scope of the defined issues and far outside the ambit of the appealed conditions</w:t>
      </w:r>
      <w:r w:rsidR="00417191">
        <w:t>.</w:t>
      </w:r>
    </w:p>
    <w:p w:rsidR="00890F66" w:rsidRPr="00890F66" w:rsidRDefault="00890F66" w:rsidP="00890F66">
      <w:pPr>
        <w:rPr>
          <w:lang w:val="en-GB"/>
        </w:rPr>
      </w:pPr>
    </w:p>
    <w:p w:rsidR="00BE053A" w:rsidRPr="00093497" w:rsidRDefault="00BE053A" w:rsidP="0019044C">
      <w:pPr>
        <w:pStyle w:val="CorporateAgreement11"/>
        <w:numPr>
          <w:ilvl w:val="0"/>
          <w:numId w:val="0"/>
        </w:numPr>
        <w:spacing w:line="480" w:lineRule="auto"/>
        <w:rPr>
          <w:u w:val="single"/>
        </w:rPr>
      </w:pPr>
      <w:r w:rsidRPr="00093497">
        <w:rPr>
          <w:u w:val="single"/>
        </w:rPr>
        <w:t>The Hydrogeological Consensus</w:t>
      </w:r>
    </w:p>
    <w:p w:rsidR="00F157F7" w:rsidRDefault="00A3184B" w:rsidP="00A3184B">
      <w:pPr>
        <w:pStyle w:val="CorporateAgreement11"/>
        <w:spacing w:after="0" w:line="480" w:lineRule="auto"/>
      </w:pPr>
      <w:r>
        <w:t xml:space="preserve">Mr. Pucovsky has been involved with all aspects of </w:t>
      </w:r>
      <w:r w:rsidR="0019044C">
        <w:t>the Erin Well</w:t>
      </w:r>
      <w:r>
        <w:t xml:space="preserve"> since it was constructed, and during the last 12 years since it was acquired by Nestlé</w:t>
      </w:r>
      <w:r w:rsidR="0019044C">
        <w:t xml:space="preserve">.  </w:t>
      </w:r>
    </w:p>
    <w:p w:rsidR="00A3184B" w:rsidRDefault="00A3184B" w:rsidP="00A3184B">
      <w:pPr>
        <w:jc w:val="center"/>
        <w:rPr>
          <w:rFonts w:ascii="Arial" w:hAnsi="Arial" w:cs="Arial"/>
          <w:b/>
          <w:sz w:val="20"/>
          <w:szCs w:val="20"/>
          <w:lang w:val="en-GB"/>
        </w:rPr>
      </w:pPr>
      <w:r>
        <w:rPr>
          <w:rFonts w:ascii="Arial" w:hAnsi="Arial" w:cs="Arial"/>
          <w:b/>
          <w:sz w:val="20"/>
          <w:szCs w:val="20"/>
          <w:lang w:val="en-GB"/>
        </w:rPr>
        <w:t>Affidavit of Greg Pucovsky, para. 5</w:t>
      </w:r>
    </w:p>
    <w:p w:rsidR="00A3184B" w:rsidRPr="00A3184B" w:rsidRDefault="00A3184B" w:rsidP="00A3184B">
      <w:pPr>
        <w:jc w:val="center"/>
        <w:rPr>
          <w:lang w:val="en-GB"/>
        </w:rPr>
      </w:pPr>
    </w:p>
    <w:p w:rsidR="00CD39CB" w:rsidRPr="00C41983" w:rsidRDefault="00CD39CB" w:rsidP="00CD39CB">
      <w:pPr>
        <w:spacing w:line="480" w:lineRule="auto"/>
        <w:rPr>
          <w:rFonts w:ascii="Arial" w:hAnsi="Arial" w:cs="Arial"/>
          <w:sz w:val="21"/>
          <w:szCs w:val="21"/>
          <w:u w:val="single"/>
          <w:lang w:val="en-GB"/>
        </w:rPr>
      </w:pPr>
      <w:r w:rsidRPr="00C41983">
        <w:rPr>
          <w:rFonts w:ascii="Arial" w:hAnsi="Arial" w:cs="Arial"/>
          <w:sz w:val="21"/>
          <w:szCs w:val="21"/>
          <w:u w:val="single"/>
          <w:lang w:val="en-GB"/>
        </w:rPr>
        <w:t>Decision Making Context</w:t>
      </w:r>
    </w:p>
    <w:p w:rsidR="00CD39CB" w:rsidRDefault="00CD39CB" w:rsidP="00A3184B">
      <w:pPr>
        <w:pStyle w:val="CorporateAgreement11"/>
        <w:spacing w:after="0" w:line="480" w:lineRule="auto"/>
      </w:pPr>
      <w:r w:rsidRPr="00C41983">
        <w:t>Nowhere</w:t>
      </w:r>
      <w:r>
        <w:t xml:space="preserve"> in the materials filed by the CoC and the WWW is there any suggestion that the use of the Erin</w:t>
      </w:r>
      <w:r w:rsidRPr="00C41983">
        <w:t xml:space="preserve"> </w:t>
      </w:r>
      <w:r>
        <w:t>well has ever caused a negative or adverse effect on either surface water conditions or nearby wells.</w:t>
      </w:r>
      <w:r w:rsidR="00A3184B">
        <w:t xml:space="preserve">  The evidence of the Director and Mr. Pucovsky support this.</w:t>
      </w:r>
    </w:p>
    <w:p w:rsidR="00A3184B" w:rsidRPr="00A3184B" w:rsidRDefault="00A3184B" w:rsidP="00A3184B">
      <w:pPr>
        <w:pStyle w:val="CorporateAgreement11"/>
        <w:numPr>
          <w:ilvl w:val="0"/>
          <w:numId w:val="0"/>
        </w:numPr>
        <w:spacing w:after="0"/>
        <w:jc w:val="center"/>
        <w:rPr>
          <w:b/>
          <w:sz w:val="20"/>
          <w:szCs w:val="20"/>
        </w:rPr>
      </w:pPr>
      <w:r w:rsidRPr="00A3184B">
        <w:rPr>
          <w:b/>
          <w:sz w:val="20"/>
          <w:szCs w:val="20"/>
        </w:rPr>
        <w:t>Affidavit of Carl Slater, para. 17</w:t>
      </w:r>
    </w:p>
    <w:p w:rsidR="00A3184B" w:rsidRPr="00A3184B" w:rsidRDefault="00A3184B" w:rsidP="00A3184B">
      <w:pPr>
        <w:pStyle w:val="CorporateAgreement11"/>
        <w:numPr>
          <w:ilvl w:val="0"/>
          <w:numId w:val="0"/>
        </w:numPr>
        <w:spacing w:after="0"/>
        <w:jc w:val="center"/>
        <w:rPr>
          <w:b/>
          <w:sz w:val="20"/>
          <w:szCs w:val="20"/>
        </w:rPr>
      </w:pPr>
      <w:r w:rsidRPr="00A3184B">
        <w:rPr>
          <w:b/>
          <w:sz w:val="20"/>
          <w:szCs w:val="20"/>
        </w:rPr>
        <w:t>Affidavit of Greg Pucovsky, para. 8</w:t>
      </w:r>
    </w:p>
    <w:p w:rsidR="00A3184B" w:rsidRPr="00A3184B" w:rsidRDefault="00A3184B" w:rsidP="00A3184B">
      <w:pPr>
        <w:rPr>
          <w:lang w:val="en-GB"/>
        </w:rPr>
      </w:pPr>
    </w:p>
    <w:p w:rsidR="00A3184B" w:rsidRPr="00A3184B" w:rsidRDefault="00A3184B" w:rsidP="00A3184B">
      <w:pPr>
        <w:jc w:val="center"/>
        <w:rPr>
          <w:lang w:val="en-GB"/>
        </w:rPr>
      </w:pPr>
    </w:p>
    <w:p w:rsidR="00CD39CB" w:rsidRDefault="00CD39CB" w:rsidP="00A3184B">
      <w:pPr>
        <w:pStyle w:val="CorporateAgreement11"/>
        <w:spacing w:after="0" w:line="480" w:lineRule="auto"/>
      </w:pPr>
      <w:r>
        <w:t>The CoC and WWW submissions identify six droughts in the well’s region since 1998.  These occurred in 1</w:t>
      </w:r>
      <w:r w:rsidR="002D494C">
        <w:t>9</w:t>
      </w:r>
      <w:r>
        <w:t>98, 1999, 2001, 2002, 2007 and 2012.</w:t>
      </w:r>
    </w:p>
    <w:p w:rsidR="00CD39CB" w:rsidRDefault="00CD39CB" w:rsidP="00A3184B">
      <w:pPr>
        <w:jc w:val="center"/>
        <w:rPr>
          <w:rFonts w:ascii="Arial" w:hAnsi="Arial" w:cs="Arial"/>
          <w:b/>
          <w:sz w:val="20"/>
          <w:szCs w:val="20"/>
          <w:lang w:val="en-GB"/>
        </w:rPr>
      </w:pPr>
      <w:r w:rsidRPr="00A3184B">
        <w:rPr>
          <w:rFonts w:ascii="Arial" w:hAnsi="Arial" w:cs="Arial"/>
          <w:b/>
          <w:sz w:val="20"/>
          <w:szCs w:val="20"/>
          <w:lang w:val="en-GB"/>
        </w:rPr>
        <w:t>CoC and WWW submissions, para. 18</w:t>
      </w:r>
    </w:p>
    <w:p w:rsidR="00A3184B" w:rsidRPr="00A3184B" w:rsidRDefault="00A3184B" w:rsidP="00CD39CB">
      <w:pPr>
        <w:spacing w:line="480" w:lineRule="auto"/>
        <w:jc w:val="center"/>
        <w:rPr>
          <w:rFonts w:ascii="Arial" w:hAnsi="Arial" w:cs="Arial"/>
          <w:b/>
          <w:sz w:val="20"/>
          <w:szCs w:val="20"/>
          <w:lang w:val="en-GB"/>
        </w:rPr>
      </w:pPr>
    </w:p>
    <w:p w:rsidR="00CD39CB" w:rsidRDefault="00CD39CB" w:rsidP="00CD39CB">
      <w:pPr>
        <w:pStyle w:val="CorporateAgreement11"/>
        <w:spacing w:line="480" w:lineRule="auto"/>
      </w:pPr>
      <w:r w:rsidRPr="00C41983">
        <w:t xml:space="preserve">The Erin well has been operated continuously for </w:t>
      </w:r>
      <w:r>
        <w:t xml:space="preserve">approximately twenty years including (with voluntary restrictions by Nestlé) during all of the drought events referred to, including those considered most severe in </w:t>
      </w:r>
      <w:r w:rsidR="002D494C">
        <w:t>2007</w:t>
      </w:r>
      <w:r>
        <w:t xml:space="preserve"> and 2012.</w:t>
      </w:r>
    </w:p>
    <w:p w:rsidR="00CD39CB" w:rsidRDefault="00CD39CB" w:rsidP="00A3184B">
      <w:pPr>
        <w:pStyle w:val="CorporateAgreement11"/>
        <w:spacing w:after="0" w:line="480" w:lineRule="auto"/>
      </w:pPr>
      <w:r>
        <w:lastRenderedPageBreak/>
        <w:t>During all of those years and all droughts, not a single instance of interference with wells nor any impact on surface water has been identified.</w:t>
      </w:r>
      <w:r w:rsidRPr="00C41983">
        <w:t xml:space="preserve"> </w:t>
      </w:r>
    </w:p>
    <w:p w:rsidR="00A3184B" w:rsidRPr="00A3184B" w:rsidRDefault="00A3184B" w:rsidP="00A3184B">
      <w:pPr>
        <w:pStyle w:val="CorporateAgreement11"/>
        <w:numPr>
          <w:ilvl w:val="0"/>
          <w:numId w:val="0"/>
        </w:numPr>
        <w:spacing w:after="0"/>
        <w:jc w:val="center"/>
        <w:rPr>
          <w:b/>
          <w:sz w:val="20"/>
          <w:szCs w:val="20"/>
        </w:rPr>
      </w:pPr>
      <w:r w:rsidRPr="00A3184B">
        <w:rPr>
          <w:b/>
          <w:sz w:val="20"/>
          <w:szCs w:val="20"/>
        </w:rPr>
        <w:t>Affidavit of Carl Slater, para. 17</w:t>
      </w:r>
    </w:p>
    <w:p w:rsidR="00A3184B" w:rsidRPr="00A3184B" w:rsidRDefault="00A3184B" w:rsidP="00A3184B">
      <w:pPr>
        <w:pStyle w:val="CorporateAgreement11"/>
        <w:numPr>
          <w:ilvl w:val="0"/>
          <w:numId w:val="0"/>
        </w:numPr>
        <w:spacing w:after="0"/>
        <w:jc w:val="center"/>
        <w:rPr>
          <w:b/>
          <w:sz w:val="20"/>
          <w:szCs w:val="20"/>
        </w:rPr>
      </w:pPr>
      <w:r w:rsidRPr="00A3184B">
        <w:rPr>
          <w:b/>
          <w:sz w:val="20"/>
          <w:szCs w:val="20"/>
        </w:rPr>
        <w:t>Affidavit of Greg Pucovsky, para. 8</w:t>
      </w:r>
    </w:p>
    <w:p w:rsidR="00A3184B" w:rsidRPr="00A3184B" w:rsidRDefault="00A3184B" w:rsidP="00A3184B">
      <w:pPr>
        <w:jc w:val="center"/>
        <w:rPr>
          <w:sz w:val="20"/>
          <w:szCs w:val="20"/>
          <w:lang w:val="en-GB"/>
        </w:rPr>
      </w:pPr>
    </w:p>
    <w:p w:rsidR="00CD39CB" w:rsidRPr="00CD39CB" w:rsidRDefault="00CD39CB" w:rsidP="00CD39CB">
      <w:pPr>
        <w:rPr>
          <w:lang w:val="en-GB"/>
        </w:rPr>
      </w:pPr>
    </w:p>
    <w:p w:rsidR="001C4BA8" w:rsidRDefault="0019044C" w:rsidP="00493751">
      <w:pPr>
        <w:pStyle w:val="CorporateAgreement11"/>
        <w:spacing w:line="480" w:lineRule="auto"/>
      </w:pPr>
      <w:r>
        <w:t xml:space="preserve">Each of Abdul Quyum , Regional Hydrogeologist and </w:t>
      </w:r>
      <w:r w:rsidR="001C4BA8">
        <w:t>ground</w:t>
      </w:r>
      <w:r>
        <w:t xml:space="preserve"> water reviewer for the Ministry of the Environment</w:t>
      </w:r>
      <w:r w:rsidR="001C4BA8">
        <w:t>,</w:t>
      </w:r>
      <w:r w:rsidR="00F157F7">
        <w:t xml:space="preserve"> and Sarah Day, surface water rev</w:t>
      </w:r>
      <w:r w:rsidR="001C4BA8">
        <w:t>iewer, concur that there is no</w:t>
      </w:r>
      <w:r w:rsidR="00F157F7">
        <w:t xml:space="preserve"> </w:t>
      </w:r>
      <w:r w:rsidR="00A3184B">
        <w:t>reason to believe the Erin well has or will affect</w:t>
      </w:r>
      <w:r w:rsidR="00F157F7">
        <w:t xml:space="preserve"> municipal supplies, area wells, or surface water.  </w:t>
      </w:r>
    </w:p>
    <w:p w:rsidR="00A3184B" w:rsidRPr="00A3184B" w:rsidRDefault="00A3184B" w:rsidP="00A3184B">
      <w:pPr>
        <w:pStyle w:val="CorporateAgreement11"/>
        <w:numPr>
          <w:ilvl w:val="0"/>
          <w:numId w:val="0"/>
        </w:numPr>
        <w:spacing w:after="0"/>
        <w:jc w:val="center"/>
        <w:rPr>
          <w:b/>
          <w:sz w:val="20"/>
          <w:szCs w:val="20"/>
        </w:rPr>
      </w:pPr>
      <w:r w:rsidRPr="00A3184B">
        <w:rPr>
          <w:b/>
          <w:sz w:val="20"/>
          <w:szCs w:val="20"/>
        </w:rPr>
        <w:t>Affidavit of Abdul Quyum, para</w:t>
      </w:r>
      <w:r>
        <w:rPr>
          <w:b/>
          <w:sz w:val="20"/>
          <w:szCs w:val="20"/>
        </w:rPr>
        <w:t>s</w:t>
      </w:r>
      <w:r w:rsidRPr="00A3184B">
        <w:rPr>
          <w:b/>
          <w:sz w:val="20"/>
          <w:szCs w:val="20"/>
        </w:rPr>
        <w:t xml:space="preserve">. </w:t>
      </w:r>
      <w:r>
        <w:rPr>
          <w:b/>
          <w:sz w:val="20"/>
          <w:szCs w:val="20"/>
        </w:rPr>
        <w:t>20-22</w:t>
      </w:r>
    </w:p>
    <w:p w:rsidR="00A3184B" w:rsidRPr="00A3184B" w:rsidRDefault="00A3184B" w:rsidP="00A3184B">
      <w:pPr>
        <w:pStyle w:val="CorporateAgreement11"/>
        <w:numPr>
          <w:ilvl w:val="0"/>
          <w:numId w:val="0"/>
        </w:numPr>
        <w:spacing w:after="0"/>
        <w:jc w:val="center"/>
        <w:rPr>
          <w:b/>
          <w:sz w:val="20"/>
          <w:szCs w:val="20"/>
        </w:rPr>
      </w:pPr>
      <w:r w:rsidRPr="00A3184B">
        <w:rPr>
          <w:b/>
          <w:sz w:val="20"/>
          <w:szCs w:val="20"/>
        </w:rPr>
        <w:t xml:space="preserve">Affidavit of </w:t>
      </w:r>
      <w:r>
        <w:rPr>
          <w:b/>
          <w:sz w:val="20"/>
          <w:szCs w:val="20"/>
        </w:rPr>
        <w:t>Sarah Day</w:t>
      </w:r>
      <w:r w:rsidRPr="00A3184B">
        <w:rPr>
          <w:b/>
          <w:sz w:val="20"/>
          <w:szCs w:val="20"/>
        </w:rPr>
        <w:t>, para</w:t>
      </w:r>
      <w:r>
        <w:rPr>
          <w:b/>
          <w:sz w:val="20"/>
          <w:szCs w:val="20"/>
        </w:rPr>
        <w:t>s</w:t>
      </w:r>
      <w:r w:rsidRPr="00A3184B">
        <w:rPr>
          <w:b/>
          <w:sz w:val="20"/>
          <w:szCs w:val="20"/>
        </w:rPr>
        <w:t xml:space="preserve">. </w:t>
      </w:r>
      <w:r>
        <w:rPr>
          <w:b/>
          <w:sz w:val="20"/>
          <w:szCs w:val="20"/>
        </w:rPr>
        <w:t>13-16</w:t>
      </w:r>
    </w:p>
    <w:p w:rsidR="00A3184B" w:rsidRPr="00A3184B" w:rsidRDefault="00A3184B" w:rsidP="00A3184B">
      <w:pPr>
        <w:rPr>
          <w:lang w:val="en-GB"/>
        </w:rPr>
      </w:pPr>
    </w:p>
    <w:p w:rsidR="00493751" w:rsidRDefault="00F157F7" w:rsidP="00493751">
      <w:pPr>
        <w:pStyle w:val="CorporateAgreement11"/>
        <w:spacing w:line="480" w:lineRule="auto"/>
      </w:pPr>
      <w:r>
        <w:t>Mr</w:t>
      </w:r>
      <w:r w:rsidR="00CD39CB">
        <w:t>.</w:t>
      </w:r>
      <w:r>
        <w:t xml:space="preserve"> Pucovsky, a hydrogeologist with 20 years</w:t>
      </w:r>
      <w:r w:rsidR="001C4BA8">
        <w:t>’</w:t>
      </w:r>
      <w:r>
        <w:t xml:space="preserve"> experience of the Erin Well</w:t>
      </w:r>
      <w:r w:rsidR="001C4BA8">
        <w:t>, testifies that</w:t>
      </w:r>
      <w:r>
        <w:t xml:space="preserve"> pumping at the daily “spike rate” </w:t>
      </w:r>
    </w:p>
    <w:p w:rsidR="0019044C" w:rsidRDefault="00493751" w:rsidP="001C4BA8">
      <w:pPr>
        <w:pStyle w:val="CorporateAgreement11"/>
        <w:numPr>
          <w:ilvl w:val="0"/>
          <w:numId w:val="0"/>
        </w:numPr>
        <w:spacing w:after="0" w:line="480" w:lineRule="auto"/>
        <w:ind w:left="1440"/>
      </w:pPr>
      <w:r>
        <w:t>“</w:t>
      </w:r>
      <w:r w:rsidR="00F157F7">
        <w:t xml:space="preserve">should not have an </w:t>
      </w:r>
      <w:r>
        <w:t xml:space="preserve">adverse effect on the surficial overburden aquifer, nor surface waters within the zone of influence for [the Erin Well] which occurs within the Eramosa </w:t>
      </w:r>
      <w:r w:rsidR="00CD39CB">
        <w:t xml:space="preserve">River </w:t>
      </w:r>
      <w:r>
        <w:t xml:space="preserve">Sub Watershed under Low Water </w:t>
      </w:r>
      <w:r w:rsidR="00093497">
        <w:t>Condition</w:t>
      </w:r>
      <w:r>
        <w:t xml:space="preserve"> 1 or 2”</w:t>
      </w:r>
      <w:r w:rsidR="001C4BA8">
        <w:t>.</w:t>
      </w:r>
    </w:p>
    <w:p w:rsidR="001C4BA8" w:rsidRPr="00A3184B" w:rsidRDefault="00A3184B" w:rsidP="00CD4EEC">
      <w:pPr>
        <w:jc w:val="center"/>
        <w:rPr>
          <w:rFonts w:ascii="Arial" w:hAnsi="Arial" w:cs="Arial"/>
          <w:b/>
          <w:sz w:val="20"/>
          <w:szCs w:val="20"/>
          <w:lang w:val="en-GB"/>
        </w:rPr>
      </w:pPr>
      <w:r w:rsidRPr="00A3184B">
        <w:rPr>
          <w:rFonts w:ascii="Arial" w:hAnsi="Arial" w:cs="Arial"/>
          <w:b/>
          <w:sz w:val="20"/>
          <w:szCs w:val="20"/>
          <w:lang w:val="en-GB"/>
        </w:rPr>
        <w:t xml:space="preserve">Affidavit </w:t>
      </w:r>
      <w:r>
        <w:rPr>
          <w:rFonts w:ascii="Arial" w:hAnsi="Arial" w:cs="Arial"/>
          <w:b/>
          <w:sz w:val="20"/>
          <w:szCs w:val="20"/>
          <w:lang w:val="en-GB"/>
        </w:rPr>
        <w:t xml:space="preserve">of Greg </w:t>
      </w:r>
      <w:r w:rsidR="001C4BA8" w:rsidRPr="00A3184B">
        <w:rPr>
          <w:rFonts w:ascii="Arial" w:hAnsi="Arial" w:cs="Arial"/>
          <w:b/>
          <w:sz w:val="20"/>
          <w:szCs w:val="20"/>
          <w:lang w:val="en-GB"/>
        </w:rPr>
        <w:t>Pucovsky, para. 10</w:t>
      </w:r>
    </w:p>
    <w:p w:rsidR="001C4BA8" w:rsidRPr="001C4BA8" w:rsidRDefault="001C4BA8" w:rsidP="001C4BA8">
      <w:pPr>
        <w:jc w:val="right"/>
        <w:rPr>
          <w:lang w:val="en-GB"/>
        </w:rPr>
      </w:pPr>
    </w:p>
    <w:p w:rsidR="00864A42" w:rsidRDefault="00493751" w:rsidP="00F73C6D">
      <w:pPr>
        <w:pStyle w:val="CorporateAgreement11"/>
        <w:spacing w:line="480" w:lineRule="auto"/>
      </w:pPr>
      <w:r>
        <w:t>This consensus of Hydrogeologi</w:t>
      </w:r>
      <w:r w:rsidR="00CD39CB">
        <w:t>sts</w:t>
      </w:r>
      <w:r>
        <w:t xml:space="preserve"> is uncontroverted</w:t>
      </w:r>
      <w:r w:rsidR="005B1719">
        <w:t>: the Erin well does not affect the surface water conditions governed by Low Water Declarations.</w:t>
      </w:r>
    </w:p>
    <w:p w:rsidR="00E85C61" w:rsidRDefault="00E85C61" w:rsidP="00E85C61">
      <w:pPr>
        <w:pStyle w:val="CorporateAgreement11"/>
        <w:spacing w:after="0" w:line="480" w:lineRule="auto"/>
      </w:pPr>
      <w:r>
        <w:t xml:space="preserve">The monitoring network surrounding the Erin well is unusually extensive and fully sufficient to detect impacts, if any, from the Erin well.  The comprehensiveness of the monitoring program was </w:t>
      </w:r>
      <w:r w:rsidR="005B1719">
        <w:t xml:space="preserve">affirmed by Abdul Quyum and </w:t>
      </w:r>
      <w:r>
        <w:t xml:space="preserve">noted by Mr. Whiteley’s report </w:t>
      </w:r>
      <w:r w:rsidR="005B1719">
        <w:t xml:space="preserve">on behalf of the WWW </w:t>
      </w:r>
      <w:r>
        <w:t>dated June 12, 2012 to Mr. Nagy.</w:t>
      </w:r>
    </w:p>
    <w:p w:rsidR="005B1719" w:rsidRDefault="005B1719" w:rsidP="005B1719">
      <w:pPr>
        <w:pStyle w:val="CorporateAgreement11"/>
        <w:numPr>
          <w:ilvl w:val="0"/>
          <w:numId w:val="0"/>
        </w:numPr>
        <w:spacing w:after="0"/>
        <w:jc w:val="center"/>
        <w:rPr>
          <w:b/>
          <w:sz w:val="20"/>
          <w:szCs w:val="20"/>
        </w:rPr>
      </w:pPr>
      <w:r w:rsidRPr="00A3184B">
        <w:rPr>
          <w:b/>
          <w:sz w:val="20"/>
          <w:szCs w:val="20"/>
        </w:rPr>
        <w:t>Affidavit of Abdul Quyum, para</w:t>
      </w:r>
      <w:r>
        <w:rPr>
          <w:b/>
          <w:sz w:val="20"/>
          <w:szCs w:val="20"/>
        </w:rPr>
        <w:t>. 27</w:t>
      </w:r>
    </w:p>
    <w:p w:rsidR="005B1719" w:rsidRPr="005B1719" w:rsidRDefault="005B1719" w:rsidP="005B1719">
      <w:pPr>
        <w:pStyle w:val="CorporateAgreement11"/>
        <w:numPr>
          <w:ilvl w:val="0"/>
          <w:numId w:val="0"/>
        </w:numPr>
        <w:spacing w:after="0"/>
        <w:jc w:val="center"/>
        <w:rPr>
          <w:b/>
          <w:sz w:val="20"/>
          <w:szCs w:val="20"/>
        </w:rPr>
      </w:pPr>
      <w:r w:rsidRPr="005B1719">
        <w:rPr>
          <w:b/>
          <w:sz w:val="20"/>
          <w:szCs w:val="20"/>
        </w:rPr>
        <w:t>Affidavit of Greg Pucovsky</w:t>
      </w:r>
      <w:r>
        <w:rPr>
          <w:b/>
          <w:sz w:val="20"/>
          <w:szCs w:val="20"/>
        </w:rPr>
        <w:t>, para. 4</w:t>
      </w:r>
    </w:p>
    <w:p w:rsidR="00E85C61" w:rsidRDefault="00E85C61" w:rsidP="00E85C61">
      <w:pPr>
        <w:rPr>
          <w:lang w:val="en-GB"/>
        </w:rPr>
      </w:pPr>
    </w:p>
    <w:p w:rsidR="00E85C61" w:rsidRDefault="00E85C61" w:rsidP="00E85C61">
      <w:pPr>
        <w:pStyle w:val="CorporateAgreement11"/>
        <w:spacing w:line="480" w:lineRule="auto"/>
      </w:pPr>
      <w:r w:rsidRPr="004205A6">
        <w:t>The “daily spike rate”</w:t>
      </w:r>
      <w:r>
        <w:t xml:space="preserve"> provision in </w:t>
      </w:r>
      <w:r w:rsidR="005B1719">
        <w:t xml:space="preserve">Condition 3.3 </w:t>
      </w:r>
      <w:r>
        <w:t>Permit To Take Water (Groundwater) Number 3716-8UZMCU (the “PTTW”) does not allow any more water to be taken in any month.</w:t>
      </w:r>
    </w:p>
    <w:p w:rsidR="00E85C61" w:rsidRDefault="00E85C61" w:rsidP="002130F3">
      <w:pPr>
        <w:pStyle w:val="CorporateAgreement11"/>
        <w:spacing w:after="0" w:line="480" w:lineRule="auto"/>
      </w:pPr>
      <w:r>
        <w:lastRenderedPageBreak/>
        <w:t xml:space="preserve">All the daily </w:t>
      </w:r>
      <w:r w:rsidR="005B1719">
        <w:t>“</w:t>
      </w:r>
      <w:r>
        <w:t>spike rate</w:t>
      </w:r>
      <w:r w:rsidR="005B1719">
        <w:t>”</w:t>
      </w:r>
      <w:r>
        <w:t xml:space="preserve"> provision permits is a daily fluctuation in the permitted draw, provided a daily average draw for the month does not exceed the permit to draw set out in Table A to the PTTW.  This is hydrogeologically negligible</w:t>
      </w:r>
      <w:r w:rsidR="005B1719">
        <w:t xml:space="preserve"> according to Mr. Pucovsky and will not cause unacceptable impacts on the bedrock aquifer or wells, according to Mr. Quyum.</w:t>
      </w:r>
    </w:p>
    <w:p w:rsidR="005B1719" w:rsidRPr="005B1719" w:rsidRDefault="005B1719" w:rsidP="005B1719">
      <w:pPr>
        <w:pStyle w:val="CorporateAgreement11"/>
        <w:numPr>
          <w:ilvl w:val="0"/>
          <w:numId w:val="0"/>
        </w:numPr>
        <w:spacing w:after="0"/>
        <w:jc w:val="center"/>
        <w:rPr>
          <w:b/>
          <w:sz w:val="20"/>
          <w:szCs w:val="20"/>
        </w:rPr>
      </w:pPr>
      <w:r w:rsidRPr="005B1719">
        <w:rPr>
          <w:b/>
          <w:sz w:val="20"/>
          <w:szCs w:val="20"/>
        </w:rPr>
        <w:t xml:space="preserve">Affidavit of Abdul Quyum, para. </w:t>
      </w:r>
      <w:r w:rsidR="002130F3">
        <w:rPr>
          <w:b/>
          <w:sz w:val="20"/>
          <w:szCs w:val="20"/>
        </w:rPr>
        <w:t>32</w:t>
      </w:r>
    </w:p>
    <w:p w:rsidR="005B1719" w:rsidRPr="005B1719" w:rsidRDefault="005B1719" w:rsidP="005B1719">
      <w:pPr>
        <w:pStyle w:val="CorporateAgreement11"/>
        <w:numPr>
          <w:ilvl w:val="0"/>
          <w:numId w:val="0"/>
        </w:numPr>
        <w:spacing w:after="0"/>
        <w:jc w:val="center"/>
        <w:rPr>
          <w:b/>
          <w:sz w:val="20"/>
          <w:szCs w:val="20"/>
        </w:rPr>
      </w:pPr>
      <w:r w:rsidRPr="005B1719">
        <w:rPr>
          <w:b/>
          <w:sz w:val="20"/>
          <w:szCs w:val="20"/>
        </w:rPr>
        <w:t xml:space="preserve">Affidavit of Greg Pucovsky, para. </w:t>
      </w:r>
      <w:r w:rsidR="002130F3">
        <w:rPr>
          <w:b/>
          <w:sz w:val="20"/>
          <w:szCs w:val="20"/>
        </w:rPr>
        <w:t>13</w:t>
      </w:r>
    </w:p>
    <w:p w:rsidR="005B1719" w:rsidRPr="005B1719" w:rsidRDefault="005B1719" w:rsidP="005B1719">
      <w:pPr>
        <w:rPr>
          <w:lang w:val="en-GB"/>
        </w:rPr>
      </w:pPr>
    </w:p>
    <w:p w:rsidR="005D469E" w:rsidRDefault="00493751" w:rsidP="00F73C6D">
      <w:pPr>
        <w:pStyle w:val="CorporateAgreement11"/>
        <w:spacing w:line="480" w:lineRule="auto"/>
      </w:pPr>
      <w:r>
        <w:t>Mr. Howard, who provided the only hydrogeologically qualified evidence for the WWW</w:t>
      </w:r>
      <w:r w:rsidR="00417191">
        <w:t xml:space="preserve"> </w:t>
      </w:r>
      <w:r>
        <w:t>&amp;</w:t>
      </w:r>
      <w:r w:rsidR="00417191">
        <w:t xml:space="preserve"> </w:t>
      </w:r>
      <w:r>
        <w:t xml:space="preserve">CoC </w:t>
      </w:r>
    </w:p>
    <w:p w:rsidR="005D469E" w:rsidRDefault="005D469E" w:rsidP="001C4BA8">
      <w:pPr>
        <w:pStyle w:val="CorporateAgreement12"/>
        <w:spacing w:line="480" w:lineRule="auto"/>
        <w:ind w:left="1440" w:hanging="720"/>
      </w:pPr>
      <w:r>
        <w:t xml:space="preserve">does not assert any hydrogeological connection </w:t>
      </w:r>
      <w:r w:rsidR="00093497">
        <w:t>exists</w:t>
      </w:r>
      <w:r>
        <w:t xml:space="preserve"> </w:t>
      </w:r>
      <w:r w:rsidR="00093497">
        <w:t>between</w:t>
      </w:r>
      <w:r>
        <w:t xml:space="preserve"> the shallow and deep aquifers. </w:t>
      </w:r>
    </w:p>
    <w:p w:rsidR="005D469E" w:rsidRDefault="005D469E" w:rsidP="001C4BA8">
      <w:pPr>
        <w:pStyle w:val="CorporateAgreement12"/>
        <w:spacing w:line="480" w:lineRule="auto"/>
        <w:ind w:left="1440" w:hanging="720"/>
      </w:pPr>
      <w:r>
        <w:t xml:space="preserve">Speculates about the possibility of affected receptors outside the current monitoring network, without any </w:t>
      </w:r>
      <w:r w:rsidR="00CD4EEC">
        <w:t>specific</w:t>
      </w:r>
      <w:r>
        <w:t xml:space="preserve"> suggestions for additional monitoring points</w:t>
      </w:r>
    </w:p>
    <w:p w:rsidR="005D469E" w:rsidRDefault="00E85C61" w:rsidP="001C4BA8">
      <w:pPr>
        <w:pStyle w:val="CorporateAgreement12"/>
        <w:spacing w:line="480" w:lineRule="auto"/>
        <w:ind w:left="1440" w:hanging="720"/>
      </w:pPr>
      <w:r>
        <w:t>Opine</w:t>
      </w:r>
      <w:r w:rsidR="005D469E">
        <w:t xml:space="preserve">s that a 7 day pumping test is unlikely to produce </w:t>
      </w:r>
      <w:r>
        <w:t>effects on shallow wells and surface water bodies</w:t>
      </w:r>
      <w:r w:rsidR="005D469E">
        <w:t>:</w:t>
      </w:r>
    </w:p>
    <w:p w:rsidR="005D469E" w:rsidRDefault="005D469E" w:rsidP="002130F3">
      <w:pPr>
        <w:pStyle w:val="CorporateAgreement12"/>
        <w:numPr>
          <w:ilvl w:val="0"/>
          <w:numId w:val="0"/>
        </w:numPr>
        <w:spacing w:after="0" w:line="480" w:lineRule="auto"/>
        <w:ind w:left="1440"/>
      </w:pPr>
      <w:r>
        <w:t>“will yield useful data not currently required under the Permit to Take Water (“PTTW”).  Given the relatively high storage capacity of the shallow water table aquifer it is unlikely that a test of only 7 days duration will produce observable impacts on shallow wells and associated surface water bodies</w:t>
      </w:r>
      <w:r w:rsidR="00A650CC">
        <w:t>, even during drought conditions.  However, the data collected should allow the hydraulic properties of the aquitard to be determined and provide for a better hydrogeological understanding of the relationship between the two aquifers at the well site.”</w:t>
      </w:r>
    </w:p>
    <w:p w:rsidR="002130F3" w:rsidRPr="005B1719" w:rsidRDefault="002130F3" w:rsidP="002130F3">
      <w:pPr>
        <w:pStyle w:val="CorporateAgreement11"/>
        <w:numPr>
          <w:ilvl w:val="0"/>
          <w:numId w:val="0"/>
        </w:numPr>
        <w:spacing w:after="0"/>
        <w:jc w:val="center"/>
        <w:rPr>
          <w:b/>
          <w:sz w:val="20"/>
          <w:szCs w:val="20"/>
        </w:rPr>
      </w:pPr>
      <w:r w:rsidRPr="005B1719">
        <w:rPr>
          <w:b/>
          <w:sz w:val="20"/>
          <w:szCs w:val="20"/>
        </w:rPr>
        <w:t xml:space="preserve">Affidavit of </w:t>
      </w:r>
      <w:r>
        <w:rPr>
          <w:b/>
          <w:sz w:val="20"/>
          <w:szCs w:val="20"/>
        </w:rPr>
        <w:t>Ken Howard</w:t>
      </w:r>
      <w:r w:rsidRPr="005B1719">
        <w:rPr>
          <w:b/>
          <w:sz w:val="20"/>
          <w:szCs w:val="20"/>
        </w:rPr>
        <w:t xml:space="preserve">, para. </w:t>
      </w:r>
      <w:r>
        <w:rPr>
          <w:b/>
          <w:sz w:val="20"/>
          <w:szCs w:val="20"/>
        </w:rPr>
        <w:t>11</w:t>
      </w:r>
    </w:p>
    <w:p w:rsidR="00F20EE5" w:rsidRPr="00F20EE5" w:rsidRDefault="00F20EE5" w:rsidP="00F20EE5">
      <w:pPr>
        <w:jc w:val="right"/>
        <w:rPr>
          <w:lang w:val="en-GB"/>
        </w:rPr>
      </w:pPr>
    </w:p>
    <w:p w:rsidR="00493751" w:rsidRDefault="00A650CC" w:rsidP="00F73C6D">
      <w:pPr>
        <w:pStyle w:val="CorporateAgreement11"/>
        <w:spacing w:line="480" w:lineRule="auto"/>
      </w:pPr>
      <w:r>
        <w:t>With regard to the duration of the pumping test:</w:t>
      </w:r>
    </w:p>
    <w:p w:rsidR="00A650CC" w:rsidRDefault="00A650CC" w:rsidP="0082374D">
      <w:pPr>
        <w:pStyle w:val="CorporateAgreement12"/>
        <w:spacing w:line="480" w:lineRule="auto"/>
        <w:ind w:left="1440" w:hanging="720"/>
      </w:pPr>
      <w:r>
        <w:lastRenderedPageBreak/>
        <w:t>Mr. Howard does not recommend a longer test</w:t>
      </w:r>
      <w:r w:rsidR="00E85C61">
        <w:t xml:space="preserve"> (nor any changes </w:t>
      </w:r>
      <w:r w:rsidR="002130F3">
        <w:t xml:space="preserve">at all </w:t>
      </w:r>
      <w:r w:rsidR="00E85C61">
        <w:t>to the pump test)</w:t>
      </w:r>
      <w:r>
        <w:t>; and</w:t>
      </w:r>
    </w:p>
    <w:p w:rsidR="00A650CC" w:rsidRDefault="00A650CC" w:rsidP="002130F3">
      <w:pPr>
        <w:pStyle w:val="CorporateAgreement12"/>
        <w:spacing w:after="0" w:line="480" w:lineRule="auto"/>
        <w:ind w:left="1440" w:hanging="720"/>
      </w:pPr>
      <w:r>
        <w:t>The seven day test was specifically designed to exceed the effect of any likely use of the “spike rate” which would only involve elevated draws of short duration</w:t>
      </w:r>
      <w:r w:rsidR="00E85C61">
        <w:t>, with no increase in the monthly permitted draw</w:t>
      </w:r>
      <w:r>
        <w:t>.</w:t>
      </w:r>
    </w:p>
    <w:p w:rsidR="002130F3" w:rsidRPr="002130F3" w:rsidRDefault="002130F3" w:rsidP="002130F3">
      <w:pPr>
        <w:pStyle w:val="CorporateAgreement11"/>
        <w:numPr>
          <w:ilvl w:val="0"/>
          <w:numId w:val="0"/>
        </w:numPr>
        <w:jc w:val="center"/>
        <w:rPr>
          <w:b/>
          <w:sz w:val="20"/>
          <w:szCs w:val="20"/>
        </w:rPr>
      </w:pPr>
      <w:r w:rsidRPr="002130F3">
        <w:rPr>
          <w:b/>
          <w:sz w:val="20"/>
          <w:szCs w:val="20"/>
        </w:rPr>
        <w:t>Affidavit of Greg Pucovsky, para. 1</w:t>
      </w:r>
      <w:r>
        <w:rPr>
          <w:b/>
          <w:sz w:val="20"/>
          <w:szCs w:val="20"/>
        </w:rPr>
        <w:t>0</w:t>
      </w:r>
    </w:p>
    <w:p w:rsidR="00AB37F4" w:rsidRPr="00AB37F4" w:rsidRDefault="00AB37F4" w:rsidP="00AB37F4">
      <w:pPr>
        <w:jc w:val="right"/>
        <w:rPr>
          <w:lang w:val="en-GB"/>
        </w:rPr>
      </w:pPr>
    </w:p>
    <w:p w:rsidR="001C4BA8" w:rsidRPr="00997D32" w:rsidRDefault="001C4BA8" w:rsidP="00AB37F4">
      <w:pPr>
        <w:spacing w:line="480" w:lineRule="auto"/>
        <w:rPr>
          <w:rFonts w:ascii="Arial" w:hAnsi="Arial" w:cs="Arial"/>
          <w:b/>
          <w:sz w:val="21"/>
          <w:szCs w:val="21"/>
          <w:u w:val="single"/>
          <w:lang w:val="en-GB"/>
        </w:rPr>
      </w:pPr>
      <w:r w:rsidRPr="00997D32">
        <w:rPr>
          <w:rFonts w:ascii="Arial" w:hAnsi="Arial" w:cs="Arial"/>
          <w:b/>
          <w:sz w:val="21"/>
          <w:szCs w:val="21"/>
          <w:u w:val="single"/>
          <w:lang w:val="en-GB"/>
        </w:rPr>
        <w:t>Response to Law and Argument</w:t>
      </w:r>
    </w:p>
    <w:p w:rsidR="00A650CC" w:rsidRDefault="00A650CC" w:rsidP="00AB37F4">
      <w:pPr>
        <w:pStyle w:val="CorporateAgreement11"/>
        <w:spacing w:line="480" w:lineRule="auto"/>
      </w:pPr>
      <w:r>
        <w:t>The entirety of the submissions of the WWW</w:t>
      </w:r>
      <w:r w:rsidR="00997D32">
        <w:t xml:space="preserve"> </w:t>
      </w:r>
      <w:r>
        <w:t>&amp;</w:t>
      </w:r>
      <w:r w:rsidR="00997D32">
        <w:t xml:space="preserve"> </w:t>
      </w:r>
      <w:r>
        <w:t xml:space="preserve">CoC proceed from a premise which for which there is simply no hydrogeological evidence.  Their submissions all stem from the </w:t>
      </w:r>
      <w:r w:rsidR="00E85C61">
        <w:t xml:space="preserve">undocumented, unsubstantiated </w:t>
      </w:r>
      <w:r>
        <w:t xml:space="preserve">premise that the pumping of water at the spike rate during low water conditions </w:t>
      </w:r>
      <w:r w:rsidR="00E85C61">
        <w:t xml:space="preserve">would </w:t>
      </w:r>
      <w:r>
        <w:t xml:space="preserve">cause some environmental harm.  </w:t>
      </w:r>
    </w:p>
    <w:p w:rsidR="00CD4EEC" w:rsidRDefault="00A650CC" w:rsidP="00CD4EEC">
      <w:pPr>
        <w:pStyle w:val="CorporateAgreement11"/>
        <w:spacing w:line="480" w:lineRule="auto"/>
      </w:pPr>
      <w:r>
        <w:t xml:space="preserve"> All the evidence of the extensive monitoring of the Erin Well during conditions ranging from normal to severe drought demonstrates the opposite to be true.  The deep aquifer can supply </w:t>
      </w:r>
      <w:r w:rsidR="00E85C61">
        <w:t xml:space="preserve">and has supplied </w:t>
      </w:r>
      <w:r>
        <w:t xml:space="preserve">water </w:t>
      </w:r>
      <w:r w:rsidR="00E85C61">
        <w:t xml:space="preserve">for more than 12 years </w:t>
      </w:r>
      <w:r>
        <w:t xml:space="preserve">without any impact on surface or near surface features.  </w:t>
      </w:r>
      <w:r w:rsidR="00E85C61">
        <w:t xml:space="preserve">The </w:t>
      </w:r>
      <w:r w:rsidR="005F33B6">
        <w:t>operation of the Erin Well</w:t>
      </w:r>
      <w:r w:rsidR="0047019D">
        <w:t xml:space="preserve"> has been shown to be irrelevant to the surface water conditions and not to exacerbate drought conditions</w:t>
      </w:r>
      <w:r w:rsidR="0082374D">
        <w:t>.</w:t>
      </w:r>
      <w:r w:rsidR="005F33B6">
        <w:t xml:space="preserve">  </w:t>
      </w:r>
      <w:r w:rsidR="0082374D">
        <w:t>T</w:t>
      </w:r>
      <w:r w:rsidR="005F33B6">
        <w:t xml:space="preserve">he pumping test is designed </w:t>
      </w:r>
      <w:r w:rsidR="0082374D">
        <w:t xml:space="preserve">further </w:t>
      </w:r>
      <w:r w:rsidR="005F33B6">
        <w:t>to test that observation under controlled conditions.</w:t>
      </w:r>
    </w:p>
    <w:p w:rsidR="009F4C88" w:rsidRDefault="009F4C88" w:rsidP="00F60E2D">
      <w:pPr>
        <w:pStyle w:val="CorporateAgreement11"/>
        <w:spacing w:line="480" w:lineRule="auto"/>
      </w:pPr>
      <w:r>
        <w:t>The approval of the Minutes of Settlement will not cause any of the three types of prejudice asserted to be relevant at paragraph 43 of the submissions of the WWW and CoC</w:t>
      </w:r>
      <w:r w:rsidR="0082374D">
        <w:t xml:space="preserve"> for the reasons set out in the following paragraphs</w:t>
      </w:r>
      <w:r>
        <w:t>.</w:t>
      </w:r>
    </w:p>
    <w:p w:rsidR="009F4C88" w:rsidRDefault="009F4C88" w:rsidP="00F60E2D">
      <w:pPr>
        <w:pStyle w:val="CorporateAgreement11"/>
        <w:spacing w:line="480" w:lineRule="auto"/>
      </w:pPr>
      <w:r>
        <w:t>The replacement of the appealed versions of Sections 3.4 and 3.5 results in a demonstrable strengthening and improvement of the permit’s ability to protect the environment while also operating in a more fair, transparent and science-based manner.</w:t>
      </w:r>
    </w:p>
    <w:p w:rsidR="0082374D" w:rsidRPr="0082374D" w:rsidRDefault="0082374D" w:rsidP="0082374D">
      <w:pPr>
        <w:rPr>
          <w:rFonts w:ascii="Arial" w:hAnsi="Arial" w:cs="Arial"/>
          <w:sz w:val="21"/>
          <w:szCs w:val="21"/>
          <w:u w:val="single"/>
          <w:lang w:val="en-GB"/>
        </w:rPr>
      </w:pPr>
      <w:r w:rsidRPr="0082374D">
        <w:rPr>
          <w:rFonts w:ascii="Arial" w:hAnsi="Arial" w:cs="Arial"/>
          <w:sz w:val="21"/>
          <w:szCs w:val="21"/>
          <w:u w:val="single"/>
          <w:lang w:val="en-GB"/>
        </w:rPr>
        <w:lastRenderedPageBreak/>
        <w:t>Comparison of Appealed and Proposed Conditions</w:t>
      </w:r>
    </w:p>
    <w:p w:rsidR="0082374D" w:rsidRPr="0082374D" w:rsidRDefault="0082374D" w:rsidP="0082374D">
      <w:pPr>
        <w:rPr>
          <w:lang w:val="en-GB"/>
        </w:rPr>
      </w:pPr>
    </w:p>
    <w:p w:rsidR="009F4C88" w:rsidRDefault="009F4C88" w:rsidP="00F60E2D">
      <w:pPr>
        <w:pStyle w:val="CorporateAgreement11"/>
        <w:spacing w:line="480" w:lineRule="auto"/>
      </w:pPr>
      <w:r>
        <w:t>The appealed conditions and the proposed conditions are compared as follows.</w:t>
      </w:r>
    </w:p>
    <w:p w:rsidR="00997D32" w:rsidRDefault="00997D32" w:rsidP="00997D32">
      <w:pPr>
        <w:pStyle w:val="CorporateAgreement11"/>
        <w:spacing w:line="480" w:lineRule="auto"/>
      </w:pPr>
      <w:r>
        <w:t>The original, appealed version of Condition 3.4 of the PTTW requires a ten per cent reduction in the maximum permitted daily water taking (in the case of a Level 1 Low Water Declaration) and a twenty per cent reduction of the maximum permitted daily taking (in the case of a Level 2 Low Water Declaration)</w:t>
      </w:r>
      <w:r w:rsidR="0047019D">
        <w:t xml:space="preserve"> and also precludes the use of the “spike rate”</w:t>
      </w:r>
      <w:r>
        <w:t>.  This provision has the following characteristics:</w:t>
      </w:r>
    </w:p>
    <w:p w:rsidR="00997D32" w:rsidRDefault="00997D32" w:rsidP="0082374D">
      <w:pPr>
        <w:pStyle w:val="CorporateAgreement12"/>
        <w:spacing w:after="0" w:line="480" w:lineRule="auto"/>
        <w:ind w:left="1440" w:hanging="720"/>
      </w:pPr>
      <w:r>
        <w:t xml:space="preserve">The required percentage reductions are drawn from generic standards contained in the “Ontario Low Water Response” </w:t>
      </w:r>
      <w:r w:rsidR="0082374D">
        <w:t xml:space="preserve">for all of Ontario </w:t>
      </w:r>
      <w:r>
        <w:t xml:space="preserve">and are </w:t>
      </w:r>
      <w:r w:rsidR="0082374D">
        <w:t xml:space="preserve">therefore </w:t>
      </w:r>
      <w:r>
        <w:t>not specific to the Erin well.</w:t>
      </w:r>
    </w:p>
    <w:p w:rsidR="0082374D" w:rsidRPr="0082374D" w:rsidRDefault="0082374D" w:rsidP="0082374D">
      <w:pPr>
        <w:pStyle w:val="CorporateAgreement11"/>
        <w:numPr>
          <w:ilvl w:val="0"/>
          <w:numId w:val="0"/>
        </w:numPr>
        <w:jc w:val="center"/>
        <w:rPr>
          <w:b/>
          <w:sz w:val="20"/>
          <w:szCs w:val="20"/>
        </w:rPr>
      </w:pPr>
      <w:r w:rsidRPr="0082374D">
        <w:rPr>
          <w:b/>
          <w:sz w:val="20"/>
          <w:szCs w:val="20"/>
        </w:rPr>
        <w:t xml:space="preserve">Affidavit of </w:t>
      </w:r>
      <w:r>
        <w:rPr>
          <w:b/>
          <w:sz w:val="20"/>
          <w:szCs w:val="20"/>
        </w:rPr>
        <w:t>Carl Slater</w:t>
      </w:r>
      <w:r w:rsidRPr="0082374D">
        <w:rPr>
          <w:b/>
          <w:sz w:val="20"/>
          <w:szCs w:val="20"/>
        </w:rPr>
        <w:t>, para</w:t>
      </w:r>
      <w:r>
        <w:rPr>
          <w:b/>
          <w:sz w:val="20"/>
          <w:szCs w:val="20"/>
        </w:rPr>
        <w:t>s</w:t>
      </w:r>
      <w:r w:rsidRPr="0082374D">
        <w:rPr>
          <w:b/>
          <w:sz w:val="20"/>
          <w:szCs w:val="20"/>
        </w:rPr>
        <w:t>. 1</w:t>
      </w:r>
      <w:r>
        <w:rPr>
          <w:b/>
          <w:sz w:val="20"/>
          <w:szCs w:val="20"/>
        </w:rPr>
        <w:t>4-16</w:t>
      </w:r>
    </w:p>
    <w:p w:rsidR="0082374D" w:rsidRPr="0082374D" w:rsidRDefault="0082374D" w:rsidP="0082374D">
      <w:pPr>
        <w:jc w:val="center"/>
        <w:rPr>
          <w:lang w:val="en-GB"/>
        </w:rPr>
      </w:pPr>
    </w:p>
    <w:p w:rsidR="00997D32" w:rsidRDefault="00997D32" w:rsidP="00997D32">
      <w:pPr>
        <w:pStyle w:val="CorporateAgreement12"/>
        <w:spacing w:line="480" w:lineRule="auto"/>
        <w:ind w:left="1440" w:hanging="720"/>
      </w:pPr>
      <w:r>
        <w:t xml:space="preserve">The </w:t>
      </w:r>
      <w:r w:rsidR="0047019D">
        <w:t>Low Water Condition Declarations</w:t>
      </w:r>
      <w:r>
        <w:t xml:space="preserve"> are designed to be voluntary and </w:t>
      </w:r>
      <w:r w:rsidR="0082374D">
        <w:t>often exclude groundwater takings</w:t>
      </w:r>
      <w:r>
        <w:t xml:space="preserve">. </w:t>
      </w:r>
    </w:p>
    <w:p w:rsidR="0082374D" w:rsidRDefault="0082374D" w:rsidP="0082374D">
      <w:pPr>
        <w:pStyle w:val="CorporateAgreement12"/>
        <w:spacing w:after="0" w:line="480" w:lineRule="auto"/>
        <w:ind w:left="1440" w:hanging="720"/>
      </w:pPr>
      <w:r>
        <w:t>Low Water Declarations were not designed to serve as mandatory reductions and have not been removed even following a return to normal surface conditions.</w:t>
      </w:r>
    </w:p>
    <w:p w:rsidR="0082374D" w:rsidRPr="002130F3" w:rsidRDefault="00997D32" w:rsidP="0082374D">
      <w:pPr>
        <w:pStyle w:val="CorporateAgreement11"/>
        <w:numPr>
          <w:ilvl w:val="0"/>
          <w:numId w:val="0"/>
        </w:numPr>
        <w:jc w:val="center"/>
        <w:rPr>
          <w:b/>
          <w:sz w:val="20"/>
          <w:szCs w:val="20"/>
        </w:rPr>
      </w:pPr>
      <w:r>
        <w:t xml:space="preserve"> </w:t>
      </w:r>
      <w:r w:rsidR="0082374D" w:rsidRPr="002130F3">
        <w:rPr>
          <w:b/>
          <w:sz w:val="20"/>
          <w:szCs w:val="20"/>
        </w:rPr>
        <w:t xml:space="preserve">Affidavit of Greg Pucovsky, para. </w:t>
      </w:r>
      <w:r w:rsidR="0082374D">
        <w:rPr>
          <w:b/>
          <w:sz w:val="20"/>
          <w:szCs w:val="20"/>
        </w:rPr>
        <w:t>6</w:t>
      </w:r>
    </w:p>
    <w:p w:rsidR="00997D32" w:rsidRDefault="0082374D" w:rsidP="00997D32">
      <w:pPr>
        <w:pStyle w:val="CorporateAgreement12"/>
        <w:spacing w:line="480" w:lineRule="auto"/>
        <w:ind w:left="1440" w:hanging="720"/>
      </w:pPr>
      <w:r>
        <w:t>The CoC and WWW have not put forward any evidence to suggest any</w:t>
      </w:r>
      <w:r w:rsidR="00997D32">
        <w:t xml:space="preserve"> scientific connection between the ten and twenty per cent reductions and the performance of the Erin well within its zone of influence during drought conditions.</w:t>
      </w:r>
    </w:p>
    <w:p w:rsidR="00997D32" w:rsidRDefault="00997D32" w:rsidP="0082374D">
      <w:pPr>
        <w:pStyle w:val="CorporateAgreement12"/>
        <w:spacing w:after="0" w:line="480" w:lineRule="auto"/>
        <w:ind w:left="1440" w:hanging="720"/>
      </w:pPr>
      <w:r>
        <w:t xml:space="preserve">There is no </w:t>
      </w:r>
      <w:r w:rsidR="0047019D">
        <w:t>hydrogeological evidence</w:t>
      </w:r>
      <w:r>
        <w:t xml:space="preserve"> that draws from the Erin well have any effect on </w:t>
      </w:r>
      <w:r w:rsidR="0082374D">
        <w:t>surface water conditions and Sarah Day testifies that the elevated spike rate is unlikely to do so, and that the pumping test is sufficient to test this.</w:t>
      </w:r>
    </w:p>
    <w:p w:rsidR="0082374D" w:rsidRPr="0082374D" w:rsidRDefault="0082374D" w:rsidP="0082374D">
      <w:pPr>
        <w:pStyle w:val="CorporateAgreement11"/>
        <w:numPr>
          <w:ilvl w:val="0"/>
          <w:numId w:val="0"/>
        </w:numPr>
        <w:jc w:val="center"/>
        <w:rPr>
          <w:b/>
          <w:sz w:val="20"/>
          <w:szCs w:val="20"/>
        </w:rPr>
      </w:pPr>
      <w:r w:rsidRPr="0082374D">
        <w:rPr>
          <w:b/>
          <w:sz w:val="20"/>
          <w:szCs w:val="20"/>
        </w:rPr>
        <w:t xml:space="preserve">Affidavit of </w:t>
      </w:r>
      <w:r w:rsidR="00491FE9">
        <w:rPr>
          <w:b/>
          <w:sz w:val="20"/>
          <w:szCs w:val="20"/>
        </w:rPr>
        <w:t>Sarah Day</w:t>
      </w:r>
      <w:r w:rsidRPr="0082374D">
        <w:rPr>
          <w:b/>
          <w:sz w:val="20"/>
          <w:szCs w:val="20"/>
        </w:rPr>
        <w:t>, para. 1</w:t>
      </w:r>
      <w:r w:rsidR="00491FE9">
        <w:rPr>
          <w:b/>
          <w:sz w:val="20"/>
          <w:szCs w:val="20"/>
        </w:rPr>
        <w:t>3-17</w:t>
      </w:r>
    </w:p>
    <w:p w:rsidR="0082374D" w:rsidRPr="0082374D" w:rsidRDefault="0082374D" w:rsidP="0082374D">
      <w:pPr>
        <w:rPr>
          <w:lang w:val="en-GB"/>
        </w:rPr>
      </w:pPr>
    </w:p>
    <w:p w:rsidR="00997D32" w:rsidRDefault="00997D32" w:rsidP="00997D32">
      <w:pPr>
        <w:pStyle w:val="CorporateAgreement12"/>
        <w:spacing w:line="480" w:lineRule="auto"/>
        <w:ind w:left="1440" w:hanging="720"/>
      </w:pPr>
      <w:r>
        <w:t xml:space="preserve">Equally, in the unexpected event that there was to be an impact, there is no indication that a ten or twenty per cent reduction </w:t>
      </w:r>
      <w:r w:rsidR="0047019D">
        <w:t>would be</w:t>
      </w:r>
      <w:r>
        <w:t xml:space="preserve"> the correct response</w:t>
      </w:r>
      <w:r w:rsidR="0047019D">
        <w:t xml:space="preserve"> for the Erin well</w:t>
      </w:r>
      <w:r>
        <w:t>.</w:t>
      </w:r>
    </w:p>
    <w:p w:rsidR="00997D32" w:rsidRDefault="00997D32" w:rsidP="00491FE9">
      <w:pPr>
        <w:pStyle w:val="CorporateAgreement12"/>
        <w:spacing w:after="0" w:line="480" w:lineRule="auto"/>
        <w:ind w:left="1440" w:hanging="720"/>
      </w:pPr>
      <w:r>
        <w:t>The original condition is not supported by the Grand River Conservation Authority.</w:t>
      </w:r>
      <w:r w:rsidR="00491FE9">
        <w:t xml:space="preserve">  The Conservation Authority initially misunderstood the spiking provision and has emphasized to the Director the voluntary nature of the Low Water Declarations.</w:t>
      </w:r>
    </w:p>
    <w:p w:rsidR="00491FE9" w:rsidRPr="00491FE9" w:rsidRDefault="00491FE9" w:rsidP="00491FE9">
      <w:pPr>
        <w:pStyle w:val="CorporateAgreement11"/>
        <w:numPr>
          <w:ilvl w:val="0"/>
          <w:numId w:val="0"/>
        </w:numPr>
        <w:jc w:val="center"/>
        <w:rPr>
          <w:b/>
          <w:sz w:val="20"/>
          <w:szCs w:val="20"/>
        </w:rPr>
      </w:pPr>
      <w:r w:rsidRPr="00491FE9">
        <w:rPr>
          <w:b/>
          <w:sz w:val="20"/>
          <w:szCs w:val="20"/>
        </w:rPr>
        <w:t xml:space="preserve">Affidavit of </w:t>
      </w:r>
      <w:r>
        <w:rPr>
          <w:b/>
          <w:sz w:val="20"/>
          <w:szCs w:val="20"/>
        </w:rPr>
        <w:t>Carl Slater</w:t>
      </w:r>
      <w:r w:rsidRPr="00491FE9">
        <w:rPr>
          <w:b/>
          <w:sz w:val="20"/>
          <w:szCs w:val="20"/>
        </w:rPr>
        <w:t xml:space="preserve">, para. </w:t>
      </w:r>
      <w:r>
        <w:rPr>
          <w:b/>
          <w:sz w:val="20"/>
          <w:szCs w:val="20"/>
        </w:rPr>
        <w:t>3</w:t>
      </w:r>
      <w:r w:rsidRPr="00491FE9">
        <w:rPr>
          <w:b/>
          <w:sz w:val="20"/>
          <w:szCs w:val="20"/>
        </w:rPr>
        <w:t>0</w:t>
      </w:r>
    </w:p>
    <w:p w:rsidR="00491FE9" w:rsidRPr="00491FE9" w:rsidRDefault="00491FE9" w:rsidP="00491FE9">
      <w:pPr>
        <w:rPr>
          <w:lang w:val="en-GB"/>
        </w:rPr>
      </w:pPr>
    </w:p>
    <w:p w:rsidR="00997D32" w:rsidRDefault="00997D32" w:rsidP="00997D32">
      <w:pPr>
        <w:pStyle w:val="CorporateAgreement12"/>
        <w:spacing w:line="480" w:lineRule="auto"/>
        <w:ind w:left="1440" w:hanging="720"/>
      </w:pPr>
      <w:r>
        <w:t xml:space="preserve">The original condition is not supported by the Director, nor by the team of </w:t>
      </w:r>
      <w:r w:rsidR="0047019D">
        <w:t>experts</w:t>
      </w:r>
      <w:r>
        <w:t xml:space="preserve"> who have advised the Director and provided evidence.</w:t>
      </w:r>
    </w:p>
    <w:p w:rsidR="00997D32" w:rsidRDefault="00997D32" w:rsidP="00997D32">
      <w:pPr>
        <w:pStyle w:val="CorporateAgreement12"/>
        <w:spacing w:line="480" w:lineRule="auto"/>
        <w:ind w:left="1440" w:hanging="720"/>
      </w:pPr>
      <w:r>
        <w:t xml:space="preserve">The original condition was conceived from a misunderstanding candidly admitted by the Director. </w:t>
      </w:r>
    </w:p>
    <w:p w:rsidR="00997D32" w:rsidRDefault="00997D32" w:rsidP="00997D32">
      <w:pPr>
        <w:pStyle w:val="CorporateAgreement12"/>
        <w:spacing w:line="480" w:lineRule="auto"/>
        <w:ind w:left="1440" w:hanging="720"/>
      </w:pPr>
      <w:r>
        <w:t>The original condition adds nothing to the scientific understanding of the performance of the Erin well in low water conditions.</w:t>
      </w:r>
    </w:p>
    <w:p w:rsidR="00997D32" w:rsidRPr="009F4C88" w:rsidRDefault="00997D32" w:rsidP="00997D32">
      <w:pPr>
        <w:pStyle w:val="CorporateAgreement12"/>
        <w:spacing w:line="480" w:lineRule="auto"/>
        <w:ind w:left="1440" w:hanging="720"/>
      </w:pPr>
      <w:r>
        <w:t>Condition 3.4 deprives the Permit Holder of a right to appeal an inappropriate or unfair restriction</w:t>
      </w:r>
      <w:r w:rsidR="0047019D">
        <w:t xml:space="preserve"> arising from a Low Water Declaration, or from the failure to repeal a Low Water Declaration</w:t>
      </w:r>
      <w:r>
        <w:t>.</w:t>
      </w:r>
    </w:p>
    <w:p w:rsidR="00997D32" w:rsidRDefault="00997D32" w:rsidP="00997D32">
      <w:pPr>
        <w:pStyle w:val="CorporateAgreement11"/>
      </w:pPr>
      <w:r>
        <w:t>The replacement conditions proposed in the Minutes of Settlement, by contrast:</w:t>
      </w:r>
    </w:p>
    <w:p w:rsidR="00997D32" w:rsidRDefault="00997D32" w:rsidP="00997D32">
      <w:pPr>
        <w:pStyle w:val="CorporateAgreement12"/>
        <w:spacing w:line="480" w:lineRule="auto"/>
        <w:ind w:left="1440" w:hanging="720"/>
      </w:pPr>
      <w:r>
        <w:t xml:space="preserve">Completely preclude the use of the spike rate in low water conditions until a pumping test has </w:t>
      </w:r>
      <w:r w:rsidR="0047019D">
        <w:t>confirmed the</w:t>
      </w:r>
      <w:r>
        <w:t xml:space="preserve"> opinions of Mr. Pucovsky and the Ministry’s experts </w:t>
      </w:r>
      <w:r w:rsidR="0047019D">
        <w:t xml:space="preserve">(and Mr. Howard) </w:t>
      </w:r>
      <w:r>
        <w:t>regarding the</w:t>
      </w:r>
      <w:r w:rsidR="0047019D">
        <w:t xml:space="preserve"> lack of </w:t>
      </w:r>
      <w:r>
        <w:t xml:space="preserve">effect </w:t>
      </w:r>
      <w:r w:rsidR="0047019D">
        <w:t>on drought conditions from</w:t>
      </w:r>
      <w:r>
        <w:t xml:space="preserve"> pumping at the </w:t>
      </w:r>
      <w:r w:rsidR="0047019D">
        <w:t>“</w:t>
      </w:r>
      <w:r>
        <w:t>spike rate</w:t>
      </w:r>
      <w:r w:rsidR="0047019D">
        <w:t>”</w:t>
      </w:r>
      <w:r>
        <w:t xml:space="preserve"> for </w:t>
      </w:r>
      <w:r w:rsidR="0047019D">
        <w:t>a 7 day</w:t>
      </w:r>
      <w:r>
        <w:t xml:space="preserve"> period during actual drought conditions.</w:t>
      </w:r>
    </w:p>
    <w:p w:rsidR="00997D32" w:rsidRDefault="00997D32" w:rsidP="00997D32">
      <w:pPr>
        <w:pStyle w:val="CorporateAgreement12"/>
        <w:spacing w:line="480" w:lineRule="auto"/>
        <w:ind w:left="1440" w:hanging="720"/>
      </w:pPr>
      <w:r>
        <w:lastRenderedPageBreak/>
        <w:t>Will ensure that the spike rate is not used</w:t>
      </w:r>
      <w:r w:rsidR="00491FE9">
        <w:t xml:space="preserve"> under Low Water Conditions</w:t>
      </w:r>
      <w:r>
        <w:t xml:space="preserve"> unless and until the Director is satisfied with the results of the test under actual drought conditions.</w:t>
      </w:r>
    </w:p>
    <w:p w:rsidR="00997D32" w:rsidRDefault="00997D32" w:rsidP="00997D32">
      <w:pPr>
        <w:pStyle w:val="CorporateAgreement12"/>
        <w:spacing w:line="480" w:lineRule="auto"/>
        <w:ind w:left="1440" w:hanging="720"/>
      </w:pPr>
      <w:r>
        <w:t>Will provide the Director with information upon which he could base any required changes to the PTTW in order to respond to the pump test data.</w:t>
      </w:r>
    </w:p>
    <w:p w:rsidR="00997D32" w:rsidRDefault="00997D32" w:rsidP="00997D32">
      <w:pPr>
        <w:pStyle w:val="CorporateAgreement12"/>
        <w:spacing w:line="480" w:lineRule="auto"/>
      </w:pPr>
      <w:r>
        <w:t>Is supported by the Director and the Ministry hydrogeologists who have given evidence.</w:t>
      </w:r>
    </w:p>
    <w:p w:rsidR="00997D32" w:rsidRPr="00981D69" w:rsidRDefault="00997D32" w:rsidP="00997D32">
      <w:pPr>
        <w:pStyle w:val="CorporateAgreement12"/>
        <w:spacing w:line="480" w:lineRule="auto"/>
      </w:pPr>
      <w:r>
        <w:t>Is regarded by the Grand River Conservation Authority as a preferable condition.</w:t>
      </w:r>
    </w:p>
    <w:p w:rsidR="00997D32" w:rsidRDefault="00997D32" w:rsidP="00997D32">
      <w:pPr>
        <w:pStyle w:val="CorporateAgreement12"/>
        <w:spacing w:after="0" w:line="480" w:lineRule="auto"/>
        <w:ind w:left="1440" w:hanging="720"/>
      </w:pPr>
      <w:r>
        <w:t>Is supported by the only person with hydrogeological qualifications to provide evidence in support of the CoC and WWW (Mr. Howard) who concedes:</w:t>
      </w:r>
    </w:p>
    <w:p w:rsidR="00997D32" w:rsidRPr="002A2B5C" w:rsidRDefault="00997D32" w:rsidP="00997D32">
      <w:pPr>
        <w:ind w:left="1440"/>
        <w:rPr>
          <w:rFonts w:ascii="Arial" w:hAnsi="Arial" w:cs="Arial"/>
          <w:sz w:val="21"/>
          <w:szCs w:val="21"/>
          <w:lang w:val="en-GB"/>
        </w:rPr>
      </w:pPr>
      <w:r>
        <w:rPr>
          <w:lang w:val="en-GB"/>
        </w:rPr>
        <w:t>“</w:t>
      </w:r>
      <w:r w:rsidRPr="002A2B5C">
        <w:rPr>
          <w:rFonts w:ascii="Arial" w:hAnsi="Arial" w:cs="Arial"/>
          <w:sz w:val="21"/>
          <w:szCs w:val="21"/>
          <w:lang w:val="en-GB"/>
        </w:rPr>
        <w:t xml:space="preserve">The 7 Day Pumping Test </w:t>
      </w:r>
      <w:r w:rsidRPr="00981D69">
        <w:rPr>
          <w:rFonts w:ascii="Arial" w:hAnsi="Arial" w:cs="Arial"/>
          <w:sz w:val="21"/>
          <w:szCs w:val="21"/>
          <w:u w:val="single"/>
          <w:lang w:val="en-GB"/>
        </w:rPr>
        <w:t>will yield useful data that are not currently required</w:t>
      </w:r>
      <w:r w:rsidRPr="002A2B5C">
        <w:rPr>
          <w:rFonts w:ascii="Arial" w:hAnsi="Arial" w:cs="Arial"/>
          <w:sz w:val="21"/>
          <w:szCs w:val="21"/>
          <w:lang w:val="en-GB"/>
        </w:rPr>
        <w:t xml:space="preserve"> under the Permit To Take Water (“PTTW”).  Given the relatively high storage properties of the shallow water table aquifer, it is unlikely that a test of only 7 days’ duration will produce observable impacts on shallow wells and associated surface water bodies, even during drought conditions.  </w:t>
      </w:r>
      <w:r w:rsidRPr="00981D69">
        <w:rPr>
          <w:rFonts w:ascii="Arial" w:hAnsi="Arial" w:cs="Arial"/>
          <w:sz w:val="21"/>
          <w:szCs w:val="21"/>
          <w:u w:val="single"/>
          <w:lang w:val="en-GB"/>
        </w:rPr>
        <w:t>However, the data collected should allow the hydraulic properties of the aquitard to be determined and provide for a better hydrogeological understanding</w:t>
      </w:r>
      <w:r w:rsidRPr="002A2B5C">
        <w:rPr>
          <w:rFonts w:ascii="Arial" w:hAnsi="Arial" w:cs="Arial"/>
          <w:sz w:val="21"/>
          <w:szCs w:val="21"/>
          <w:lang w:val="en-GB"/>
        </w:rPr>
        <w:t xml:space="preserve"> of the relationship between the two aquifers present at the well site.”</w:t>
      </w:r>
      <w:r>
        <w:rPr>
          <w:rFonts w:ascii="Arial" w:hAnsi="Arial" w:cs="Arial"/>
          <w:sz w:val="21"/>
          <w:szCs w:val="21"/>
          <w:lang w:val="en-GB"/>
        </w:rPr>
        <w:t xml:space="preserve">  </w:t>
      </w:r>
      <w:r>
        <w:rPr>
          <w:rFonts w:ascii="Arial" w:hAnsi="Arial" w:cs="Arial"/>
          <w:sz w:val="21"/>
          <w:szCs w:val="21"/>
          <w:lang w:val="en-GB"/>
        </w:rPr>
        <w:tab/>
      </w:r>
      <w:r>
        <w:rPr>
          <w:rFonts w:ascii="Arial" w:hAnsi="Arial" w:cs="Arial"/>
          <w:sz w:val="21"/>
          <w:szCs w:val="21"/>
          <w:lang w:val="en-GB"/>
        </w:rPr>
        <w:tab/>
      </w:r>
      <w:r>
        <w:rPr>
          <w:rFonts w:ascii="Arial" w:hAnsi="Arial" w:cs="Arial"/>
          <w:sz w:val="21"/>
          <w:szCs w:val="21"/>
          <w:lang w:val="en-GB"/>
        </w:rPr>
        <w:tab/>
      </w:r>
      <w:r>
        <w:rPr>
          <w:rFonts w:ascii="Arial" w:hAnsi="Arial" w:cs="Arial"/>
          <w:sz w:val="21"/>
          <w:szCs w:val="21"/>
          <w:lang w:val="en-GB"/>
        </w:rPr>
        <w:tab/>
      </w:r>
      <w:r>
        <w:rPr>
          <w:rFonts w:ascii="Arial" w:hAnsi="Arial" w:cs="Arial"/>
          <w:sz w:val="21"/>
          <w:szCs w:val="21"/>
          <w:lang w:val="en-GB"/>
        </w:rPr>
        <w:tab/>
      </w:r>
      <w:r>
        <w:rPr>
          <w:rFonts w:ascii="Arial" w:hAnsi="Arial" w:cs="Arial"/>
          <w:sz w:val="21"/>
          <w:szCs w:val="21"/>
          <w:lang w:val="en-GB"/>
        </w:rPr>
        <w:tab/>
        <w:t>(emphasis added)</w:t>
      </w:r>
    </w:p>
    <w:p w:rsidR="00997D32" w:rsidRDefault="00997D32" w:rsidP="00997D32">
      <w:pPr>
        <w:rPr>
          <w:lang w:val="en-GB"/>
        </w:rPr>
      </w:pPr>
    </w:p>
    <w:p w:rsidR="00997D32" w:rsidRDefault="00997D32" w:rsidP="00997D32">
      <w:pPr>
        <w:pStyle w:val="CorporateAgreement12"/>
        <w:spacing w:line="480" w:lineRule="auto"/>
        <w:ind w:left="1440" w:hanging="720"/>
      </w:pPr>
      <w:r>
        <w:t>Require the PTA report to be circulated to the CoC and WWW and provide</w:t>
      </w:r>
      <w:r w:rsidR="0047019D">
        <w:t xml:space="preserve"> an opportunity for the CoC and WWW to submit</w:t>
      </w:r>
      <w:r>
        <w:t xml:space="preserve"> for any comments to the Director prior to the issuance of his report.</w:t>
      </w:r>
    </w:p>
    <w:p w:rsidR="00997D32" w:rsidRDefault="00997D32" w:rsidP="00997D32">
      <w:pPr>
        <w:pStyle w:val="CorporateAgreement12"/>
        <w:spacing w:line="480" w:lineRule="auto"/>
        <w:ind w:left="1440" w:hanging="720"/>
      </w:pPr>
      <w:r>
        <w:t>Requires the PTA report to be made publically available through the Nestlé website.</w:t>
      </w:r>
    </w:p>
    <w:p w:rsidR="00997D32" w:rsidRDefault="00997D32" w:rsidP="00997D32">
      <w:pPr>
        <w:pStyle w:val="CorporateAgreement12"/>
        <w:spacing w:line="480" w:lineRule="auto"/>
        <w:ind w:left="1440" w:hanging="720"/>
      </w:pPr>
      <w:r>
        <w:t>Nestlé has no doubt that the Director will explain the basis for his decision in response to the PTA report.</w:t>
      </w:r>
    </w:p>
    <w:p w:rsidR="009F4C88" w:rsidRDefault="009F4C88" w:rsidP="00F60E2D">
      <w:pPr>
        <w:pStyle w:val="CorporateAgreement11"/>
        <w:spacing w:line="480" w:lineRule="auto"/>
      </w:pPr>
      <w:r>
        <w:t>The proposed replacement for Section 3.4 is patently superior, both as an environmental protection and as an instrument of fairness.</w:t>
      </w:r>
    </w:p>
    <w:p w:rsidR="009F4C88" w:rsidRDefault="009F4C88" w:rsidP="00F60E2D">
      <w:pPr>
        <w:pStyle w:val="CorporateAgreement11"/>
        <w:spacing w:line="480" w:lineRule="auto"/>
      </w:pPr>
      <w:r>
        <w:lastRenderedPageBreak/>
        <w:t>With regard to Section 3.5, any implementation of a Level 3 condition will contain its own mandatory restrictions which will be suited to the exact nature of the low water condition.  Section 3.5, as appealed, is redundant and, if anything, tends to limit the response required in the event of a Level 3 condition.</w:t>
      </w:r>
    </w:p>
    <w:p w:rsidR="009F4C88" w:rsidRDefault="009F4C88" w:rsidP="00F60E2D">
      <w:pPr>
        <w:pStyle w:val="CorporateAgreement11"/>
        <w:spacing w:line="480" w:lineRule="auto"/>
      </w:pPr>
      <w:r>
        <w:t xml:space="preserve">With regard to the second </w:t>
      </w:r>
      <w:r w:rsidR="0047019D">
        <w:t xml:space="preserve">alleged </w:t>
      </w:r>
      <w:r>
        <w:t>ground of prejudice, there is no hydrogeological evidence anywhere in the Record to suggest that either:</w:t>
      </w:r>
    </w:p>
    <w:p w:rsidR="009F4C88" w:rsidRDefault="009F4C88" w:rsidP="00F60E2D">
      <w:pPr>
        <w:pStyle w:val="CorporateAgreement12"/>
        <w:spacing w:line="480" w:lineRule="auto"/>
        <w:ind w:left="1440" w:hanging="720"/>
      </w:pPr>
      <w:r>
        <w:t xml:space="preserve">The original condition </w:t>
      </w:r>
      <w:r w:rsidR="0047019D">
        <w:t xml:space="preserve">properly </w:t>
      </w:r>
      <w:r>
        <w:t xml:space="preserve">protects the environment </w:t>
      </w:r>
      <w:r w:rsidR="00997D32">
        <w:t xml:space="preserve">in Low Drought Conditions </w:t>
      </w:r>
      <w:r>
        <w:t xml:space="preserve">by means of an arbitrary ten </w:t>
      </w:r>
      <w:r w:rsidR="00997D32">
        <w:t xml:space="preserve">or twenty </w:t>
      </w:r>
      <w:r>
        <w:t>per cent reduction</w:t>
      </w:r>
      <w:r w:rsidR="0047019D">
        <w:t xml:space="preserve"> (and indeed the Director and the Conservation Authority no longer support it)</w:t>
      </w:r>
      <w:r>
        <w:t>, nor</w:t>
      </w:r>
    </w:p>
    <w:p w:rsidR="009F4C88" w:rsidRDefault="009F4C88" w:rsidP="0047019D">
      <w:pPr>
        <w:pStyle w:val="CorporateAgreement12"/>
        <w:spacing w:line="480" w:lineRule="auto"/>
        <w:ind w:left="1440" w:hanging="720"/>
      </w:pPr>
      <w:r>
        <w:t>That the proposed revised condition fails to protect the environment</w:t>
      </w:r>
      <w:r w:rsidR="0047019D">
        <w:t xml:space="preserve"> and indeed the hydrogeologist put forward by the CoC and WWW sees benefits in </w:t>
      </w:r>
      <w:r w:rsidR="00491FE9">
        <w:t>the pumping test</w:t>
      </w:r>
      <w:r>
        <w:t>.</w:t>
      </w:r>
    </w:p>
    <w:p w:rsidR="009F4C88" w:rsidRDefault="009F4C88" w:rsidP="00F60E2D">
      <w:pPr>
        <w:pStyle w:val="CorporateAgreement11"/>
        <w:spacing w:line="480" w:lineRule="auto"/>
      </w:pPr>
      <w:r>
        <w:t xml:space="preserve">The submissions of the WWW and CoC amount to hypothetical </w:t>
      </w:r>
      <w:r w:rsidR="00997D32">
        <w:t>concerns without any empirical foundation</w:t>
      </w:r>
      <w:r w:rsidR="00491FE9">
        <w:t>.</w:t>
      </w:r>
      <w:r w:rsidR="00997D32">
        <w:t xml:space="preserve"> </w:t>
      </w:r>
      <w:r w:rsidR="00491FE9">
        <w:t>In any event,</w:t>
      </w:r>
      <w:r w:rsidR="0047019D">
        <w:t xml:space="preserve"> </w:t>
      </w:r>
      <w:r>
        <w:t>the pumping test embedded in the replacement condition is</w:t>
      </w:r>
      <w:r w:rsidR="00F05F90">
        <w:t xml:space="preserve"> </w:t>
      </w:r>
      <w:r>
        <w:t>designed to answer fully and completely</w:t>
      </w:r>
      <w:r w:rsidR="0047019D">
        <w:t xml:space="preserve"> before any use of the “spike rate” under Low Water Conditions</w:t>
      </w:r>
      <w:r>
        <w:t>.</w:t>
      </w:r>
    </w:p>
    <w:p w:rsidR="009F4C88" w:rsidRDefault="009F4C88" w:rsidP="0082117E">
      <w:pPr>
        <w:pStyle w:val="CorporateAgreement11"/>
        <w:spacing w:after="0" w:line="480" w:lineRule="auto"/>
      </w:pPr>
      <w:r>
        <w:t>The third area of potential prejudice is completely absent.  The Director’s discretion is unfettered under the proposed revised condition.  In the first place, the Ontario Water Resources Act reserves to the Director, and the permit reflects, the Director’s ability to change the terms or limit the draws at any time by modification of the conditions.  Conversely, the permit holder would have a right to appeal.</w:t>
      </w:r>
    </w:p>
    <w:p w:rsidR="0082117E" w:rsidRPr="0082117E" w:rsidRDefault="0082117E" w:rsidP="0082117E">
      <w:pPr>
        <w:pStyle w:val="CorporateAgreement11"/>
        <w:numPr>
          <w:ilvl w:val="0"/>
          <w:numId w:val="0"/>
        </w:numPr>
        <w:jc w:val="center"/>
        <w:rPr>
          <w:b/>
          <w:sz w:val="20"/>
          <w:szCs w:val="20"/>
        </w:rPr>
      </w:pPr>
      <w:r>
        <w:rPr>
          <w:b/>
          <w:sz w:val="20"/>
          <w:szCs w:val="20"/>
        </w:rPr>
        <w:t xml:space="preserve">Permit to Take Water, Exhibit A, </w:t>
      </w:r>
      <w:r w:rsidRPr="0082117E">
        <w:rPr>
          <w:b/>
          <w:sz w:val="20"/>
          <w:szCs w:val="20"/>
        </w:rPr>
        <w:t xml:space="preserve">Affidavit of </w:t>
      </w:r>
      <w:r>
        <w:rPr>
          <w:b/>
          <w:sz w:val="20"/>
          <w:szCs w:val="20"/>
        </w:rPr>
        <w:t>Carl Slater</w:t>
      </w:r>
      <w:r w:rsidRPr="0082117E">
        <w:rPr>
          <w:b/>
          <w:sz w:val="20"/>
          <w:szCs w:val="20"/>
        </w:rPr>
        <w:t xml:space="preserve">, </w:t>
      </w:r>
      <w:r>
        <w:rPr>
          <w:b/>
          <w:sz w:val="20"/>
          <w:szCs w:val="20"/>
        </w:rPr>
        <w:t>condition 6</w:t>
      </w:r>
    </w:p>
    <w:p w:rsidR="0082117E" w:rsidRDefault="0082117E" w:rsidP="0082117E">
      <w:pPr>
        <w:rPr>
          <w:lang w:val="en-GB"/>
        </w:rPr>
      </w:pPr>
    </w:p>
    <w:p w:rsidR="0082117E" w:rsidRDefault="0082117E" w:rsidP="0082117E">
      <w:pPr>
        <w:rPr>
          <w:lang w:val="en-GB"/>
        </w:rPr>
      </w:pPr>
    </w:p>
    <w:p w:rsidR="0082117E" w:rsidRDefault="0082117E" w:rsidP="0082117E">
      <w:pPr>
        <w:rPr>
          <w:lang w:val="en-GB"/>
        </w:rPr>
      </w:pPr>
    </w:p>
    <w:p w:rsidR="0082117E" w:rsidRDefault="0082117E" w:rsidP="0082117E">
      <w:pPr>
        <w:rPr>
          <w:lang w:val="en-GB"/>
        </w:rPr>
      </w:pPr>
    </w:p>
    <w:p w:rsidR="0082117E" w:rsidRPr="0082117E" w:rsidRDefault="0082117E" w:rsidP="0082117E">
      <w:pPr>
        <w:rPr>
          <w:lang w:val="en-GB"/>
        </w:rPr>
      </w:pPr>
    </w:p>
    <w:p w:rsidR="00782626" w:rsidRPr="00782626" w:rsidRDefault="00782626" w:rsidP="00782626">
      <w:pPr>
        <w:rPr>
          <w:rFonts w:ascii="Arial" w:hAnsi="Arial" w:cs="Arial"/>
          <w:sz w:val="21"/>
          <w:szCs w:val="22"/>
          <w:u w:val="single"/>
          <w:lang w:val="en-GB"/>
        </w:rPr>
      </w:pPr>
      <w:r w:rsidRPr="00782626">
        <w:rPr>
          <w:rFonts w:ascii="Arial" w:hAnsi="Arial" w:cs="Arial"/>
          <w:sz w:val="21"/>
          <w:szCs w:val="22"/>
          <w:u w:val="single"/>
          <w:lang w:val="en-GB"/>
        </w:rPr>
        <w:lastRenderedPageBreak/>
        <w:t>Public Trust Doctrine</w:t>
      </w:r>
    </w:p>
    <w:p w:rsidR="00782626" w:rsidRPr="00782626" w:rsidRDefault="00782626" w:rsidP="00782626">
      <w:pPr>
        <w:rPr>
          <w:lang w:val="en-GB"/>
        </w:rPr>
      </w:pPr>
    </w:p>
    <w:p w:rsidR="00782626" w:rsidRDefault="00782626" w:rsidP="00F60E2D">
      <w:pPr>
        <w:pStyle w:val="CorporateAgreement11"/>
        <w:spacing w:line="480" w:lineRule="auto"/>
      </w:pPr>
      <w:r>
        <w:t>There is no judicial support for the importation and application in Ontario of the Public Trust Doctrine found in some American jurisprudence.</w:t>
      </w:r>
    </w:p>
    <w:p w:rsidR="00782626" w:rsidRDefault="00782626" w:rsidP="00EF272A">
      <w:pPr>
        <w:pStyle w:val="CorporateAgreement11"/>
        <w:spacing w:after="0" w:line="480" w:lineRule="auto"/>
      </w:pPr>
      <w:r>
        <w:t xml:space="preserve">The Supreme Court of Canada </w:t>
      </w:r>
      <w:r w:rsidR="00EF272A">
        <w:t xml:space="preserve">has </w:t>
      </w:r>
      <w:r>
        <w:t>declined to apply the Public Trust Doctrine.</w:t>
      </w:r>
    </w:p>
    <w:p w:rsidR="00EF272A" w:rsidRDefault="00EF272A" w:rsidP="00EF272A">
      <w:pPr>
        <w:pStyle w:val="CorporateAgreement11"/>
        <w:numPr>
          <w:ilvl w:val="0"/>
          <w:numId w:val="0"/>
        </w:numPr>
        <w:spacing w:after="0"/>
        <w:jc w:val="center"/>
        <w:rPr>
          <w:b/>
          <w:sz w:val="20"/>
          <w:szCs w:val="20"/>
        </w:rPr>
      </w:pPr>
      <w:r w:rsidRPr="00EF272A">
        <w:rPr>
          <w:b/>
          <w:i/>
          <w:sz w:val="20"/>
          <w:szCs w:val="20"/>
        </w:rPr>
        <w:t>British Columbia v. Canadian Forest Products</w:t>
      </w:r>
      <w:r>
        <w:rPr>
          <w:b/>
          <w:sz w:val="20"/>
          <w:szCs w:val="20"/>
        </w:rPr>
        <w:t xml:space="preserve"> [2004] 2 SCR 74, </w:t>
      </w:r>
    </w:p>
    <w:p w:rsidR="00EF272A" w:rsidRPr="00EF272A" w:rsidRDefault="00EF272A" w:rsidP="00EF272A">
      <w:pPr>
        <w:pStyle w:val="CorporateAgreement11"/>
        <w:numPr>
          <w:ilvl w:val="0"/>
          <w:numId w:val="0"/>
        </w:numPr>
        <w:jc w:val="center"/>
        <w:rPr>
          <w:b/>
          <w:sz w:val="20"/>
          <w:szCs w:val="20"/>
        </w:rPr>
      </w:pPr>
      <w:r>
        <w:rPr>
          <w:b/>
          <w:sz w:val="20"/>
          <w:szCs w:val="20"/>
        </w:rPr>
        <w:t>WWW Book of Authorities, Tab 2</w:t>
      </w:r>
    </w:p>
    <w:p w:rsidR="00EF272A" w:rsidRPr="00EF272A" w:rsidRDefault="00EF272A" w:rsidP="00EF272A">
      <w:pPr>
        <w:rPr>
          <w:lang w:val="en-GB"/>
        </w:rPr>
      </w:pPr>
    </w:p>
    <w:p w:rsidR="00782626" w:rsidRDefault="00782626" w:rsidP="00F60E2D">
      <w:pPr>
        <w:pStyle w:val="CorporateAgreement11"/>
        <w:spacing w:line="480" w:lineRule="auto"/>
      </w:pPr>
      <w:r>
        <w:t>However, even if the Public Trust Doctrine formed part of the common law of Ontario, which it does not, it would be inapplicable in this case.</w:t>
      </w:r>
    </w:p>
    <w:p w:rsidR="00782626" w:rsidRDefault="00782626" w:rsidP="00F60E2D">
      <w:pPr>
        <w:pStyle w:val="CorporateAgreement11"/>
        <w:spacing w:line="480" w:lineRule="auto"/>
      </w:pPr>
      <w:r>
        <w:t>The Public Trust Doctrine is a judicial construct which enables a governmental response when there is an environmental harm, generally in the nature of a public nuisance, which the statutory and regulatory provisions of the jurisdiction do not address.</w:t>
      </w:r>
    </w:p>
    <w:p w:rsidR="00782626" w:rsidRDefault="00782626" w:rsidP="00F60E2D">
      <w:pPr>
        <w:pStyle w:val="CorporateAgreement11"/>
        <w:spacing w:line="480" w:lineRule="auto"/>
      </w:pPr>
      <w:r>
        <w:t>In the instant case:</w:t>
      </w:r>
    </w:p>
    <w:p w:rsidR="009F4C88" w:rsidRDefault="00782626" w:rsidP="00E87C80">
      <w:pPr>
        <w:pStyle w:val="CorporateAgreement12"/>
        <w:spacing w:line="480" w:lineRule="auto"/>
        <w:ind w:left="1440" w:hanging="720"/>
      </w:pPr>
      <w:r>
        <w:t>There is simply no evidence of any environmental harm that has resulted or would result from the use of the Erin well</w:t>
      </w:r>
      <w:r w:rsidR="00EF272A">
        <w:t xml:space="preserve"> pursuant to the proposed PTTW</w:t>
      </w:r>
      <w:r>
        <w:t>; and</w:t>
      </w:r>
    </w:p>
    <w:p w:rsidR="00782626" w:rsidRDefault="00782626" w:rsidP="00E87C80">
      <w:pPr>
        <w:pStyle w:val="CorporateAgreement12"/>
        <w:spacing w:line="480" w:lineRule="auto"/>
        <w:ind w:left="1440" w:hanging="720"/>
      </w:pPr>
      <w:r>
        <w:t xml:space="preserve">The </w:t>
      </w:r>
      <w:r w:rsidRPr="00782626">
        <w:rPr>
          <w:i/>
        </w:rPr>
        <w:t>Ontario Water Resources Act</w:t>
      </w:r>
      <w:r>
        <w:t xml:space="preserve"> and the regulations thereunder provide a complete code for the protection of water and the allocation of water takings.</w:t>
      </w:r>
    </w:p>
    <w:p w:rsidR="00782626" w:rsidRDefault="00782626" w:rsidP="00E87C80">
      <w:pPr>
        <w:pStyle w:val="CorporateAgreement11"/>
        <w:spacing w:line="480" w:lineRule="auto"/>
      </w:pPr>
      <w:r>
        <w:t>The WWW and CoC submissions invite the Tribunal to supplant the law of Ontario with arbitrary and unrecognized priorities that have no foundation</w:t>
      </w:r>
      <w:r w:rsidR="001A7D0F">
        <w:t xml:space="preserve"> in the law or policy of Ontario</w:t>
      </w:r>
      <w:r>
        <w:t>.</w:t>
      </w:r>
    </w:p>
    <w:p w:rsidR="00782626" w:rsidRDefault="00782626" w:rsidP="00E87C80">
      <w:pPr>
        <w:pStyle w:val="CorporateAgreement11"/>
        <w:spacing w:line="480" w:lineRule="auto"/>
      </w:pPr>
      <w:r>
        <w:t>The failure of the WWW and CoC to base their arguments in the hydrogeologic evidence is exemplified in paragraph 56 of their submissions in which</w:t>
      </w:r>
      <w:r w:rsidR="001A7D0F">
        <w:t xml:space="preserve"> they seek</w:t>
      </w:r>
      <w:r>
        <w:t>:</w:t>
      </w:r>
    </w:p>
    <w:p w:rsidR="00782626" w:rsidRDefault="00782626" w:rsidP="00E87C80">
      <w:pPr>
        <w:pStyle w:val="CorporateAgreement12"/>
        <w:spacing w:line="480" w:lineRule="auto"/>
        <w:ind w:left="1440" w:hanging="720"/>
      </w:pPr>
      <w:r>
        <w:lastRenderedPageBreak/>
        <w:t>to have the Director “define groundwater drought indicators for the aquifer which trigger drought</w:t>
      </w:r>
      <w:r w:rsidR="00E87C80">
        <w:t xml:space="preserve"> based reductions”; and</w:t>
      </w:r>
    </w:p>
    <w:p w:rsidR="00E85C61" w:rsidRDefault="001A7D0F" w:rsidP="00E87C80">
      <w:pPr>
        <w:pStyle w:val="CorporateAgreement12"/>
        <w:spacing w:line="480" w:lineRule="auto"/>
        <w:ind w:left="1440" w:hanging="720"/>
      </w:pPr>
      <w:r>
        <w:t xml:space="preserve">to </w:t>
      </w:r>
      <w:r w:rsidR="00E87C80">
        <w:t>“recognize</w:t>
      </w:r>
      <w:r w:rsidR="00E85C61">
        <w:t xml:space="preserve"> the uncertainty which clouds our understanding of the aquifer’s recharge and discharge flows by protecting all surface water features which may be dependent on its discharge.</w:t>
      </w:r>
      <w:r w:rsidR="00E87C80">
        <w:t>”</w:t>
      </w:r>
    </w:p>
    <w:p w:rsidR="00E85C61" w:rsidRDefault="00E85C61" w:rsidP="00E85C61">
      <w:pPr>
        <w:pStyle w:val="CorporateAgreement11"/>
        <w:spacing w:line="480" w:lineRule="auto"/>
      </w:pPr>
      <w:r>
        <w:t>With regard to the submission in paragraph 56(i), the request that the conditions define groundwater drought indicators</w:t>
      </w:r>
      <w:r w:rsidR="001A7D0F">
        <w:t>, firstly,</w:t>
      </w:r>
      <w:r>
        <w:t xml:space="preserve"> contradicts the position of the WWW and CoC that they support and seek to preserve unaltered the appealed conditions.  It is uncontroverted that the Low Water Conditions to which the appealed conditions refer have no relationship to groundwater conditions.</w:t>
      </w:r>
    </w:p>
    <w:p w:rsidR="00E85C61" w:rsidRDefault="00E85C61" w:rsidP="00E85C61">
      <w:pPr>
        <w:pStyle w:val="CorporateAgreement11"/>
        <w:spacing w:line="480" w:lineRule="auto"/>
      </w:pPr>
      <w:r>
        <w:t xml:space="preserve">Further, the submission in paragraph 56(i) amounts to an </w:t>
      </w:r>
      <w:r w:rsidR="001A7D0F">
        <w:t>admission of the superiority</w:t>
      </w:r>
      <w:r>
        <w:t xml:space="preserve"> of the replacement condition 3.4 which will test the relationship of the deep aquifer to the shallow aquifer and surface water conditions </w:t>
      </w:r>
      <w:r w:rsidR="001A7D0F">
        <w:t xml:space="preserve">at “spike rates” of pumping </w:t>
      </w:r>
      <w:r>
        <w:t>during Low Water Conditions.</w:t>
      </w:r>
    </w:p>
    <w:p w:rsidR="00E85C61" w:rsidRDefault="00E85C61" w:rsidP="00E85C61">
      <w:pPr>
        <w:pStyle w:val="CorporateAgreement11"/>
        <w:spacing w:line="480" w:lineRule="auto"/>
      </w:pPr>
      <w:r>
        <w:t xml:space="preserve">The submission in paragraph 56(ii) is simply unfair to the evidence.  It asserts, contrary to the hydrogeological evidence that there is some surface water feature which has not been accounted for in that very monitoring network which </w:t>
      </w:r>
      <w:r w:rsidR="001A7D0F">
        <w:t>the WWW</w:t>
      </w:r>
      <w:r>
        <w:t xml:space="preserve"> hydrogeologist described as comprehensive.</w:t>
      </w:r>
    </w:p>
    <w:p w:rsidR="00E85C61" w:rsidRDefault="00E85C61" w:rsidP="00E85C61">
      <w:pPr>
        <w:pStyle w:val="CorporateAgreement11"/>
        <w:spacing w:line="480" w:lineRule="auto"/>
      </w:pPr>
      <w:r>
        <w:t xml:space="preserve">Even worse, the paragraph implies that the “uncertainty which clouds our understanding” precludes </w:t>
      </w:r>
      <w:r w:rsidR="001A7D0F">
        <w:t xml:space="preserve">any </w:t>
      </w:r>
      <w:r>
        <w:t>draws from the aquifer.  Th</w:t>
      </w:r>
      <w:r w:rsidR="001A7D0F">
        <w:t>ere is no evidence of a “cloud” on the understanding of the performance of the Erin well.</w:t>
      </w:r>
      <w:r>
        <w:t xml:space="preserve"> </w:t>
      </w:r>
      <w:r w:rsidR="001A7D0F">
        <w:t xml:space="preserve"> The subparagraph </w:t>
      </w:r>
      <w:r>
        <w:t>denies the existence of a wealth of hydrogeologic evidence showing the sustainability of the deep aquifer and the Erin Mills well, i</w:t>
      </w:r>
      <w:r w:rsidR="001A7D0F">
        <w:t>ncluding the 2011 Annual Report</w:t>
      </w:r>
      <w:r>
        <w:t>.</w:t>
      </w:r>
    </w:p>
    <w:p w:rsidR="00E85C61" w:rsidRDefault="00E85C61" w:rsidP="00E85C61">
      <w:pPr>
        <w:pStyle w:val="CorporateAgreement11"/>
        <w:spacing w:line="480" w:lineRule="auto"/>
      </w:pPr>
      <w:r>
        <w:t xml:space="preserve">The submissions of the WWW and CoC are ultimately grounded, not in evidence or hydrogeology, but in an aversion to </w:t>
      </w:r>
      <w:r w:rsidR="00DA7C51">
        <w:t xml:space="preserve">lawful </w:t>
      </w:r>
      <w:r>
        <w:t xml:space="preserve">water takings </w:t>
      </w:r>
      <w:r w:rsidR="00DA7C51">
        <w:t>for bottling</w:t>
      </w:r>
      <w:r>
        <w:t xml:space="preserve">, as is apparent from the </w:t>
      </w:r>
      <w:r>
        <w:lastRenderedPageBreak/>
        <w:t xml:space="preserve">submissions that the Public Trust Doctrine should be imported to restrict water taking that has been </w:t>
      </w:r>
      <w:r w:rsidR="002D494C">
        <w:t>demonstrated</w:t>
      </w:r>
      <w:r>
        <w:t xml:space="preserve"> to be utterly sustainable under all weather conditions.</w:t>
      </w:r>
    </w:p>
    <w:p w:rsidR="00E85C61" w:rsidRDefault="00E85C61" w:rsidP="00E85C61">
      <w:pPr>
        <w:pStyle w:val="CorporateAgreement11"/>
        <w:spacing w:line="480" w:lineRule="auto"/>
      </w:pPr>
      <w:r>
        <w:t>The approval of the Minutes of Settlement is in the public interest as it:</w:t>
      </w:r>
    </w:p>
    <w:p w:rsidR="00E85C61" w:rsidRDefault="001A7D0F" w:rsidP="001A7D0F">
      <w:pPr>
        <w:pStyle w:val="CorporateAgreement12"/>
        <w:spacing w:line="480" w:lineRule="auto"/>
        <w:ind w:left="1440" w:hanging="720"/>
      </w:pPr>
      <w:r>
        <w:t>i</w:t>
      </w:r>
      <w:r w:rsidR="00E85C61">
        <w:t xml:space="preserve">mposes a science based, source specific test before allowing </w:t>
      </w:r>
      <w:r>
        <w:t>any</w:t>
      </w:r>
      <w:r w:rsidR="00E85C61">
        <w:t xml:space="preserve"> use of the “spike rate”</w:t>
      </w:r>
      <w:r>
        <w:t xml:space="preserve"> in Low Water Conditions</w:t>
      </w:r>
      <w:r w:rsidR="00E85C61">
        <w:t>;</w:t>
      </w:r>
    </w:p>
    <w:p w:rsidR="00E85C61" w:rsidRDefault="001A7D0F" w:rsidP="00E85C61">
      <w:pPr>
        <w:pStyle w:val="CorporateAgreement12"/>
        <w:spacing w:line="480" w:lineRule="auto"/>
      </w:pPr>
      <w:r>
        <w:t>a</w:t>
      </w:r>
      <w:r w:rsidR="00E85C61">
        <w:t xml:space="preserve">llows the Director to respond to the results of the test </w:t>
      </w:r>
      <w:r w:rsidR="00541A65">
        <w:t>without any fetter on his discretion</w:t>
      </w:r>
      <w:r w:rsidR="00E85C61">
        <w:t>;</w:t>
      </w:r>
    </w:p>
    <w:p w:rsidR="00E85C61" w:rsidRDefault="001A7D0F" w:rsidP="00E85C61">
      <w:pPr>
        <w:pStyle w:val="CorporateAgreement12"/>
        <w:spacing w:line="480" w:lineRule="auto"/>
        <w:ind w:left="1440" w:hanging="720"/>
      </w:pPr>
      <w:r>
        <w:t>i</w:t>
      </w:r>
      <w:r w:rsidR="00E85C61">
        <w:t xml:space="preserve">s more fair and transparent to the permit holder, as it allows </w:t>
      </w:r>
      <w:r w:rsidR="00541A65">
        <w:t xml:space="preserve">any further </w:t>
      </w:r>
      <w:r w:rsidR="00E85C61">
        <w:t>restrictions imposed by the Director to be appealed;</w:t>
      </w:r>
    </w:p>
    <w:p w:rsidR="00E85C61" w:rsidRDefault="001A7D0F" w:rsidP="00E85C61">
      <w:pPr>
        <w:pStyle w:val="CorporateAgreement12"/>
        <w:spacing w:line="480" w:lineRule="auto"/>
        <w:ind w:left="1440" w:hanging="720"/>
      </w:pPr>
      <w:r>
        <w:t>e</w:t>
      </w:r>
      <w:r w:rsidR="00E85C61">
        <w:t xml:space="preserve">liminates the fundamental fallacy </w:t>
      </w:r>
      <w:r w:rsidR="00541A65">
        <w:t>using a Low Water Declaration designed to be voluntary as a mandatory restriction on deep aquifer takings</w:t>
      </w:r>
      <w:r w:rsidR="00E85C61">
        <w:t>.</w:t>
      </w:r>
    </w:p>
    <w:p w:rsidR="00E85C61" w:rsidRPr="00E85C61" w:rsidRDefault="00E85C61" w:rsidP="00E85C61">
      <w:pPr>
        <w:pStyle w:val="CorporateAgreement11"/>
        <w:spacing w:line="480" w:lineRule="auto"/>
      </w:pPr>
      <w:r>
        <w:t>Nestle Canada Inc. respectfully submits that the Minutes of Settlement should be approved.</w:t>
      </w:r>
    </w:p>
    <w:p w:rsidR="00E85C61" w:rsidRPr="00981D69" w:rsidRDefault="00E85C61" w:rsidP="00F92BD5">
      <w:pPr>
        <w:spacing w:line="480" w:lineRule="auto"/>
        <w:rPr>
          <w:lang w:val="en-GB"/>
        </w:rPr>
      </w:pPr>
    </w:p>
    <w:sectPr w:rsidR="00E85C61" w:rsidRPr="00981D69" w:rsidSect="00CD4EEC">
      <w:headerReference w:type="even" r:id="rId18"/>
      <w:headerReference w:type="default" r:id="rId19"/>
      <w:footerReference w:type="even" r:id="rId20"/>
      <w:footerReference w:type="default" r:id="rId21"/>
      <w:headerReference w:type="first" r:id="rId22"/>
      <w:footerReference w:type="first" r:id="rId23"/>
      <w:pgSz w:w="12240" w:h="15840" w:code="1"/>
      <w:pgMar w:top="2160" w:right="1440" w:bottom="1440" w:left="1440" w:header="1008" w:footer="720" w:gutter="0"/>
      <w:pgNumType w:start="1"/>
      <w:cols w:space="720"/>
      <w:noEndnote/>
      <w:titlePg/>
      <w:docGrid w:linePitch="326"/>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gBDAG8AcgBwAG8AcgBhAHQAZQBfAEEAZwByAGUAZQBtAGUAbgB0ADEAXwAxAA==" wne:acdName="acd0" wne:fciIndexBasedOn="0065"/>
    <wne:acd wne:argValue="AgBDAG8AcgBwAG8AcgBhAHQAZQBfAEEAZwByAGUAZQBtAGUAbgB0ADEAXwAyAA==" wne:acdName="acd1" wne:fciIndexBasedOn="0065"/>
    <wne:acd wne:argValue="AgBDAG8AcgBwAG8AcgBhAHQAZQBfAEEAZwByAGUAZQBtAGUAbgB0ADEAXwAzAA==" wne:acdName="acd2" wne:fciIndexBasedOn="0065"/>
    <wne:acd wne:argValue="AgBDAG8AcgBwAG8AcgBhAHQAZQBfAEEAZwByAGUAZQBtAGUAbgB0ADEAXwA0AA==" wne:acdName="acd3" wne:fciIndexBasedOn="0065"/>
    <wne:acd wne:argValue="AgBDAG8AcgBwAG8AcgBhAHQAZQBfAEEAZwByAGUAZQBtAGUAbgB0ADEAXwA1AA==" wne:acdName="acd4"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7B5" w:rsidRDefault="00C777B5" w:rsidP="00E31C11">
      <w:r>
        <w:separator/>
      </w:r>
    </w:p>
  </w:endnote>
  <w:endnote w:type="continuationSeparator" w:id="0">
    <w:p w:rsidR="00C777B5" w:rsidRDefault="00C777B5" w:rsidP="00E31C1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ESRI SDS 1.95 1">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373" w:rsidRDefault="00EE28D2" w:rsidP="00EE28D2">
    <w:pPr>
      <w:pStyle w:val="BlakesDocID"/>
    </w:pPr>
    <w:fldSimple w:instr=" DOCPROPERTY DocXDocID DMS=HummingbirdDM5 Format=&lt;&lt;NUM&gt;&gt;.&lt;&lt;VER&gt;&gt; PRESERVELOCATION \* MERGEFORMAT ">
      <w:r w:rsidR="00E91970">
        <w:t>22378155.3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373" w:rsidRDefault="00EE28D2" w:rsidP="00EE28D2">
    <w:pPr>
      <w:pStyle w:val="BlakesDocID"/>
    </w:pPr>
    <w:fldSimple w:instr=" DOCPROPERTY DocXDocID DMS=HummingbirdDM5 Format=&lt;&lt;NUM&gt;&gt;.&lt;&lt;VER&gt;&gt; PRESERVELOCATION \* MERGEFORMAT ">
      <w:r w:rsidR="00E91970">
        <w:t>22378155.3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373" w:rsidRDefault="00EE28D2" w:rsidP="00EE28D2">
    <w:pPr>
      <w:pStyle w:val="BlakesDocID"/>
    </w:pPr>
    <w:fldSimple w:instr=" DOCPROPERTY DocXDocID DMS=HummingbirdDM5 Format=&lt;&lt;NUM&gt;&gt;.&lt;&lt;VER&gt;&gt; PRESERVELOCATION \* MERGEFORMAT ">
      <w:r w:rsidR="00E91970">
        <w:t>22378155.3</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AE" w:rsidRDefault="00EE28D2" w:rsidP="00EE28D2">
    <w:pPr>
      <w:pStyle w:val="BlakesDocID"/>
    </w:pPr>
    <w:fldSimple w:instr=" DOCPROPERTY DocXDocID DMS=HummingbirdDM5 Format=&lt;&lt;NUM&gt;&gt;.&lt;&lt;VER&gt;&gt; PRESERVELOCATION \* MERGEFORMAT ">
      <w:r w:rsidR="00E91970">
        <w:t>22378155.3</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EEC" w:rsidRDefault="00CD4EEC">
    <w:pPr>
      <w:pStyle w:val="Footer"/>
      <w:jc w:val="center"/>
    </w:pPr>
    <w:fldSimple w:instr=" PAGE   \* MERGEFORMAT ">
      <w:r w:rsidR="00E91970">
        <w:rPr>
          <w:noProof/>
        </w:rPr>
        <w:t>13</w:t>
      </w:r>
    </w:fldSimple>
  </w:p>
  <w:p w:rsidR="00FF07AE" w:rsidRDefault="00EE28D2" w:rsidP="00EE28D2">
    <w:pPr>
      <w:pStyle w:val="BlakesDocID"/>
    </w:pPr>
    <w:fldSimple w:instr=" DOCPROPERTY DocXDocID DMS=HummingbirdDM5 Format=&lt;&lt;NUM&gt;&gt;.&lt;&lt;VER&gt;&gt; PRESERVELOCATION \* MERGEFORMAT ">
      <w:r w:rsidR="00E91970">
        <w:t>22378155.3</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EEC" w:rsidRPr="00CD4EEC" w:rsidRDefault="00CD4EEC">
    <w:pPr>
      <w:pStyle w:val="Footer"/>
      <w:jc w:val="center"/>
      <w:rPr>
        <w:rFonts w:ascii="Arial" w:hAnsi="Arial" w:cs="Arial"/>
        <w:sz w:val="20"/>
        <w:szCs w:val="20"/>
      </w:rPr>
    </w:pPr>
  </w:p>
  <w:p w:rsidR="00FF07AE" w:rsidRDefault="00EE28D2" w:rsidP="00EE28D2">
    <w:pPr>
      <w:pStyle w:val="BlakesDocID"/>
    </w:pPr>
    <w:fldSimple w:instr=" DOCPROPERTY DocXDocID DMS=HummingbirdDM5 Format=&lt;&lt;NUM&gt;&gt;.&lt;&lt;VER&gt;&gt; PRESERVELOCATION \* MERGEFORMAT ">
      <w:r w:rsidR="00E91970">
        <w:t>22378155.3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7B5" w:rsidRDefault="00C777B5" w:rsidP="00E31C11">
      <w:r>
        <w:separator/>
      </w:r>
    </w:p>
  </w:footnote>
  <w:footnote w:type="continuationSeparator" w:id="0">
    <w:p w:rsidR="00C777B5" w:rsidRDefault="00C777B5" w:rsidP="00E31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64" w:rsidRDefault="001B70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47E" w:rsidRPr="00316D8B" w:rsidRDefault="008123E5">
    <w:pPr>
      <w:pStyle w:val="Header"/>
      <w:rPr>
        <w:rFonts w:ascii="Arial" w:hAnsi="Arial" w:cs="Arial"/>
        <w:b/>
        <w:bCs/>
        <w:iCs/>
        <w:sz w:val="22"/>
        <w:szCs w:val="22"/>
      </w:rPr>
    </w:pPr>
    <w:r>
      <w:rPr>
        <w:rFonts w:ascii="ESRI SDS 1.95 1" w:hAnsi="ESRI SDS 1.95 1" w:cs="ESRI SDS 1.95 1"/>
        <w:b/>
        <w:bCs/>
        <w:i/>
        <w:iCs/>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C447E">
      <w:rPr>
        <w:rFonts w:ascii="ESRI SDS 1.95 1" w:hAnsi="ESRI SDS 1.95 1" w:cs="ESRI SDS 1.95 1"/>
        <w:b/>
        <w:bCs/>
        <w:i/>
        <w:iCs/>
      </w:rPr>
      <w:tab/>
    </w:r>
    <w:r w:rsidR="00DC447E" w:rsidRPr="00316D8B">
      <w:rPr>
        <w:rFonts w:ascii="Arial" w:hAnsi="Arial" w:cs="Arial"/>
        <w:bCs/>
        <w:iCs/>
        <w:sz w:val="22"/>
        <w:szCs w:val="22"/>
      </w:rPr>
      <w:t xml:space="preserve">- </w:t>
    </w:r>
    <w:r w:rsidR="00DC447E" w:rsidRPr="00316D8B">
      <w:rPr>
        <w:rStyle w:val="PageNumber"/>
        <w:rFonts w:ascii="Arial" w:hAnsi="Arial" w:cs="Arial"/>
        <w:sz w:val="22"/>
        <w:szCs w:val="22"/>
      </w:rPr>
      <w:fldChar w:fldCharType="begin"/>
    </w:r>
    <w:r w:rsidR="00DC447E" w:rsidRPr="00316D8B">
      <w:rPr>
        <w:rStyle w:val="PageNumber"/>
        <w:rFonts w:ascii="Arial" w:hAnsi="Arial" w:cs="Arial"/>
        <w:sz w:val="22"/>
        <w:szCs w:val="22"/>
      </w:rPr>
      <w:instrText xml:space="preserve"> PAGE </w:instrText>
    </w:r>
    <w:r w:rsidR="00DC447E" w:rsidRPr="00316D8B">
      <w:rPr>
        <w:rStyle w:val="PageNumber"/>
        <w:rFonts w:ascii="Arial" w:hAnsi="Arial" w:cs="Arial"/>
        <w:sz w:val="22"/>
        <w:szCs w:val="22"/>
      </w:rPr>
      <w:fldChar w:fldCharType="separate"/>
    </w:r>
    <w:r w:rsidR="00CF724E">
      <w:rPr>
        <w:rStyle w:val="PageNumber"/>
        <w:rFonts w:ascii="Arial" w:hAnsi="Arial" w:cs="Arial"/>
        <w:noProof/>
        <w:sz w:val="22"/>
        <w:szCs w:val="22"/>
      </w:rPr>
      <w:t>1</w:t>
    </w:r>
    <w:r w:rsidR="00DC447E" w:rsidRPr="00316D8B">
      <w:rPr>
        <w:rStyle w:val="PageNumber"/>
        <w:rFonts w:ascii="Arial" w:hAnsi="Arial" w:cs="Arial"/>
        <w:sz w:val="22"/>
        <w:szCs w:val="22"/>
      </w:rPr>
      <w:fldChar w:fldCharType="end"/>
    </w:r>
    <w:r w:rsidR="00DC447E" w:rsidRPr="00316D8B">
      <w:rPr>
        <w:rStyle w:val="PageNumber"/>
        <w:rFonts w:ascii="Arial" w:hAnsi="Arial" w:cs="Arial"/>
        <w:sz w:val="22"/>
        <w:szCs w:val="22"/>
      </w:rPr>
      <w:t xml:space="preserve"> -</w:t>
    </w:r>
  </w:p>
  <w:p w:rsidR="00DC447E" w:rsidRDefault="00DC447E">
    <w:pPr>
      <w:pStyle w:val="Header"/>
      <w:rPr>
        <w:rFonts w:ascii="ESRI SDS 1.95 1" w:hAnsi="ESRI SDS 1.95 1" w:cs="ESRI SDS 1.95 1"/>
        <w:lang w:val="en-GB"/>
      </w:rPr>
    </w:pPr>
  </w:p>
  <w:p w:rsidR="00DC447E" w:rsidRDefault="00DC447E">
    <w:pPr>
      <w:rPr>
        <w:rFonts w:ascii="ESRI SDS 1.95 1" w:hAnsi="ESRI SDS 1.95 1" w:cs="ESRI SDS 1.95 1"/>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64" w:rsidRDefault="001B706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AE" w:rsidRDefault="00FF07A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AE" w:rsidRDefault="00FF07AE">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AE" w:rsidRDefault="00FF07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20DE5"/>
    <w:multiLevelType w:val="multilevel"/>
    <w:tmpl w:val="A954A988"/>
    <w:name w:val="Corporate"/>
    <w:lvl w:ilvl="0">
      <w:start w:val="1"/>
      <w:numFmt w:val="decimal"/>
      <w:lvlRestart w:val="0"/>
      <w:pStyle w:val="CorporateAgreement11"/>
      <w:lvlText w:val="%1."/>
      <w:lvlJc w:val="left"/>
      <w:pPr>
        <w:tabs>
          <w:tab w:val="num" w:pos="720"/>
        </w:tabs>
        <w:ind w:left="720" w:hanging="720"/>
      </w:pPr>
      <w:rPr>
        <w:rFonts w:ascii="Arial" w:hAnsi="Arial" w:cs="Arial"/>
        <w:b w:val="0"/>
        <w:i w:val="0"/>
        <w:caps w:val="0"/>
        <w:strike w:val="0"/>
        <w:dstrike w:val="0"/>
        <w:vanish w:val="0"/>
        <w:color w:val="auto"/>
        <w:sz w:val="21"/>
        <w:u w:val="none"/>
        <w:vertAlign w:val="baseline"/>
      </w:rPr>
    </w:lvl>
    <w:lvl w:ilvl="1">
      <w:start w:val="1"/>
      <w:numFmt w:val="lowerLetter"/>
      <w:pStyle w:val="CorporateAgreement12"/>
      <w:lvlText w:val="(%2)"/>
      <w:lvlJc w:val="left"/>
      <w:pPr>
        <w:tabs>
          <w:tab w:val="num" w:pos="1440"/>
        </w:tabs>
        <w:ind w:left="0" w:firstLine="720"/>
      </w:pPr>
      <w:rPr>
        <w:rFonts w:ascii="Arial" w:hAnsi="Arial" w:cs="Arial"/>
        <w:b w:val="0"/>
        <w:i w:val="0"/>
        <w:caps w:val="0"/>
        <w:strike w:val="0"/>
        <w:dstrike w:val="0"/>
        <w:vanish w:val="0"/>
        <w:color w:val="auto"/>
        <w:sz w:val="21"/>
        <w:u w:val="none"/>
        <w:vertAlign w:val="baseline"/>
      </w:rPr>
    </w:lvl>
    <w:lvl w:ilvl="2">
      <w:start w:val="1"/>
      <w:numFmt w:val="lowerRoman"/>
      <w:pStyle w:val="CorporateAgreement13"/>
      <w:lvlText w:val="(%3)"/>
      <w:lvlJc w:val="right"/>
      <w:pPr>
        <w:tabs>
          <w:tab w:val="num" w:pos="2304"/>
        </w:tabs>
        <w:ind w:left="2304" w:hanging="432"/>
      </w:pPr>
      <w:rPr>
        <w:rFonts w:ascii="Arial" w:hAnsi="Arial" w:cs="Arial"/>
        <w:b w:val="0"/>
        <w:i w:val="0"/>
        <w:caps w:val="0"/>
        <w:strike w:val="0"/>
        <w:dstrike w:val="0"/>
        <w:vanish w:val="0"/>
        <w:color w:val="auto"/>
        <w:sz w:val="21"/>
        <w:u w:val="none"/>
        <w:vertAlign w:val="baseline"/>
      </w:rPr>
    </w:lvl>
    <w:lvl w:ilvl="3">
      <w:start w:val="1"/>
      <w:numFmt w:val="upperLetter"/>
      <w:pStyle w:val="CorporateAgreement14"/>
      <w:lvlText w:val="(%4)"/>
      <w:lvlJc w:val="left"/>
      <w:pPr>
        <w:tabs>
          <w:tab w:val="num" w:pos="3024"/>
        </w:tabs>
        <w:ind w:left="3024" w:hanging="720"/>
      </w:pPr>
      <w:rPr>
        <w:rFonts w:ascii="Arial" w:hAnsi="Arial" w:cs="Arial"/>
        <w:b w:val="0"/>
        <w:i w:val="0"/>
        <w:caps w:val="0"/>
        <w:strike w:val="0"/>
        <w:dstrike w:val="0"/>
        <w:vanish w:val="0"/>
        <w:color w:val="auto"/>
        <w:sz w:val="21"/>
        <w:u w:val="none"/>
        <w:vertAlign w:val="baseline"/>
      </w:rPr>
    </w:lvl>
    <w:lvl w:ilvl="4">
      <w:start w:val="1"/>
      <w:numFmt w:val="decimal"/>
      <w:pStyle w:val="CorporateAgreement15"/>
      <w:lvlText w:val="(%5)"/>
      <w:lvlJc w:val="left"/>
      <w:pPr>
        <w:tabs>
          <w:tab w:val="num" w:pos="3744"/>
        </w:tabs>
        <w:ind w:left="3744" w:hanging="720"/>
      </w:pPr>
      <w:rPr>
        <w:rFonts w:ascii="Arial" w:hAnsi="Arial" w:cs="Arial"/>
        <w:b w:val="0"/>
        <w:i w:val="0"/>
        <w:caps w:val="0"/>
        <w:strike w:val="0"/>
        <w:dstrike w:val="0"/>
        <w:vanish w:val="0"/>
        <w:color w:val="auto"/>
        <w:sz w:val="21"/>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hdrShapeDefaults>
    <o:shapedefaults v:ext="edit" spidmax="3074"/>
    <o:shapelayout v:ext="edit">
      <o:idmap v:ext="edit" data="2"/>
    </o:shapelayout>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3A50"/>
    <w:rsid w:val="00003BA0"/>
    <w:rsid w:val="000060DD"/>
    <w:rsid w:val="00021629"/>
    <w:rsid w:val="000453DB"/>
    <w:rsid w:val="00054CC6"/>
    <w:rsid w:val="000719DC"/>
    <w:rsid w:val="000755EF"/>
    <w:rsid w:val="00076349"/>
    <w:rsid w:val="00076712"/>
    <w:rsid w:val="0008181C"/>
    <w:rsid w:val="00093497"/>
    <w:rsid w:val="00097481"/>
    <w:rsid w:val="000B1D4C"/>
    <w:rsid w:val="000B21EC"/>
    <w:rsid w:val="000C6A6C"/>
    <w:rsid w:val="000D07A0"/>
    <w:rsid w:val="000D3CE5"/>
    <w:rsid w:val="000D7AD8"/>
    <w:rsid w:val="000F3A50"/>
    <w:rsid w:val="00100BAC"/>
    <w:rsid w:val="00101EE1"/>
    <w:rsid w:val="001107DB"/>
    <w:rsid w:val="00120CAB"/>
    <w:rsid w:val="001358FA"/>
    <w:rsid w:val="00135B39"/>
    <w:rsid w:val="0015138E"/>
    <w:rsid w:val="00162C0E"/>
    <w:rsid w:val="00166FB8"/>
    <w:rsid w:val="0017775E"/>
    <w:rsid w:val="0019044C"/>
    <w:rsid w:val="00191339"/>
    <w:rsid w:val="001A3908"/>
    <w:rsid w:val="001A439B"/>
    <w:rsid w:val="001A7D0F"/>
    <w:rsid w:val="001B3A82"/>
    <w:rsid w:val="001B40D8"/>
    <w:rsid w:val="001B7064"/>
    <w:rsid w:val="001C4BA8"/>
    <w:rsid w:val="001D4EB2"/>
    <w:rsid w:val="001E2569"/>
    <w:rsid w:val="001E68DA"/>
    <w:rsid w:val="001F756D"/>
    <w:rsid w:val="00206CB9"/>
    <w:rsid w:val="00210373"/>
    <w:rsid w:val="002130F3"/>
    <w:rsid w:val="00216153"/>
    <w:rsid w:val="00231ADB"/>
    <w:rsid w:val="00244085"/>
    <w:rsid w:val="00253072"/>
    <w:rsid w:val="00256446"/>
    <w:rsid w:val="00262E6D"/>
    <w:rsid w:val="0026454A"/>
    <w:rsid w:val="00271C1D"/>
    <w:rsid w:val="00280074"/>
    <w:rsid w:val="00280A61"/>
    <w:rsid w:val="0028504D"/>
    <w:rsid w:val="00290174"/>
    <w:rsid w:val="002A2B5C"/>
    <w:rsid w:val="002A6181"/>
    <w:rsid w:val="002B1AE2"/>
    <w:rsid w:val="002C2A45"/>
    <w:rsid w:val="002C539B"/>
    <w:rsid w:val="002C619B"/>
    <w:rsid w:val="002D0823"/>
    <w:rsid w:val="002D3609"/>
    <w:rsid w:val="002D3E99"/>
    <w:rsid w:val="002D494C"/>
    <w:rsid w:val="002D6FD4"/>
    <w:rsid w:val="002E1C9D"/>
    <w:rsid w:val="002E3C36"/>
    <w:rsid w:val="002E45B9"/>
    <w:rsid w:val="00307726"/>
    <w:rsid w:val="00310B7B"/>
    <w:rsid w:val="00316D8B"/>
    <w:rsid w:val="00333171"/>
    <w:rsid w:val="0033511A"/>
    <w:rsid w:val="00340DFE"/>
    <w:rsid w:val="00342C32"/>
    <w:rsid w:val="0036142E"/>
    <w:rsid w:val="003663BD"/>
    <w:rsid w:val="00367CFC"/>
    <w:rsid w:val="0037546F"/>
    <w:rsid w:val="003758A6"/>
    <w:rsid w:val="00382631"/>
    <w:rsid w:val="003928D8"/>
    <w:rsid w:val="003936A0"/>
    <w:rsid w:val="003A0479"/>
    <w:rsid w:val="003A691C"/>
    <w:rsid w:val="003A6D64"/>
    <w:rsid w:val="003C1102"/>
    <w:rsid w:val="003F4005"/>
    <w:rsid w:val="004052C1"/>
    <w:rsid w:val="00417191"/>
    <w:rsid w:val="004205A6"/>
    <w:rsid w:val="00423420"/>
    <w:rsid w:val="00433455"/>
    <w:rsid w:val="00433A7C"/>
    <w:rsid w:val="00433FBB"/>
    <w:rsid w:val="00442780"/>
    <w:rsid w:val="00453EA4"/>
    <w:rsid w:val="00460B42"/>
    <w:rsid w:val="00464DC2"/>
    <w:rsid w:val="00465A68"/>
    <w:rsid w:val="0047019D"/>
    <w:rsid w:val="00472413"/>
    <w:rsid w:val="004768E4"/>
    <w:rsid w:val="00476C22"/>
    <w:rsid w:val="00486E39"/>
    <w:rsid w:val="00491FE9"/>
    <w:rsid w:val="00493751"/>
    <w:rsid w:val="004948AE"/>
    <w:rsid w:val="004A437B"/>
    <w:rsid w:val="004B4AC3"/>
    <w:rsid w:val="004C3390"/>
    <w:rsid w:val="004C7293"/>
    <w:rsid w:val="004E0D67"/>
    <w:rsid w:val="004E3286"/>
    <w:rsid w:val="005054B7"/>
    <w:rsid w:val="005123E8"/>
    <w:rsid w:val="00522272"/>
    <w:rsid w:val="00526179"/>
    <w:rsid w:val="00531EAB"/>
    <w:rsid w:val="00541A65"/>
    <w:rsid w:val="00544CF2"/>
    <w:rsid w:val="005478E3"/>
    <w:rsid w:val="00563547"/>
    <w:rsid w:val="00571D47"/>
    <w:rsid w:val="00576C90"/>
    <w:rsid w:val="00587B73"/>
    <w:rsid w:val="005A32F5"/>
    <w:rsid w:val="005A6294"/>
    <w:rsid w:val="005B1719"/>
    <w:rsid w:val="005B1E6A"/>
    <w:rsid w:val="005B3FDD"/>
    <w:rsid w:val="005B4D65"/>
    <w:rsid w:val="005C297A"/>
    <w:rsid w:val="005C7B53"/>
    <w:rsid w:val="005D1454"/>
    <w:rsid w:val="005D469E"/>
    <w:rsid w:val="005E2A42"/>
    <w:rsid w:val="005E5F93"/>
    <w:rsid w:val="005F2FE4"/>
    <w:rsid w:val="005F33B6"/>
    <w:rsid w:val="005F3B74"/>
    <w:rsid w:val="005F3B88"/>
    <w:rsid w:val="005F70D7"/>
    <w:rsid w:val="00601ED7"/>
    <w:rsid w:val="00602EED"/>
    <w:rsid w:val="0061430F"/>
    <w:rsid w:val="00620528"/>
    <w:rsid w:val="00621CF2"/>
    <w:rsid w:val="0062266C"/>
    <w:rsid w:val="00630456"/>
    <w:rsid w:val="006327F5"/>
    <w:rsid w:val="006349F9"/>
    <w:rsid w:val="006470CE"/>
    <w:rsid w:val="006502F3"/>
    <w:rsid w:val="006571F2"/>
    <w:rsid w:val="00660666"/>
    <w:rsid w:val="00662E53"/>
    <w:rsid w:val="00675429"/>
    <w:rsid w:val="00677129"/>
    <w:rsid w:val="00697F83"/>
    <w:rsid w:val="006A5A65"/>
    <w:rsid w:val="006B289A"/>
    <w:rsid w:val="006B49C2"/>
    <w:rsid w:val="006D6DF8"/>
    <w:rsid w:val="006E041F"/>
    <w:rsid w:val="006E1017"/>
    <w:rsid w:val="006E5A7F"/>
    <w:rsid w:val="00700B05"/>
    <w:rsid w:val="00702771"/>
    <w:rsid w:val="00705BBA"/>
    <w:rsid w:val="007066EF"/>
    <w:rsid w:val="00715909"/>
    <w:rsid w:val="00716C60"/>
    <w:rsid w:val="0071791A"/>
    <w:rsid w:val="0072534C"/>
    <w:rsid w:val="00736DD8"/>
    <w:rsid w:val="00741687"/>
    <w:rsid w:val="007578B2"/>
    <w:rsid w:val="00763911"/>
    <w:rsid w:val="00770BEB"/>
    <w:rsid w:val="00773645"/>
    <w:rsid w:val="00782626"/>
    <w:rsid w:val="00786D00"/>
    <w:rsid w:val="007900C5"/>
    <w:rsid w:val="00792BC1"/>
    <w:rsid w:val="007B21BA"/>
    <w:rsid w:val="007B3FF1"/>
    <w:rsid w:val="007C23AF"/>
    <w:rsid w:val="007C2C73"/>
    <w:rsid w:val="007D0E8F"/>
    <w:rsid w:val="007F2CF4"/>
    <w:rsid w:val="007F40DF"/>
    <w:rsid w:val="00800467"/>
    <w:rsid w:val="00801719"/>
    <w:rsid w:val="0080337A"/>
    <w:rsid w:val="00807596"/>
    <w:rsid w:val="008114A6"/>
    <w:rsid w:val="008123E5"/>
    <w:rsid w:val="0082117E"/>
    <w:rsid w:val="0082374D"/>
    <w:rsid w:val="008259B1"/>
    <w:rsid w:val="00830B8A"/>
    <w:rsid w:val="0083142F"/>
    <w:rsid w:val="00831F66"/>
    <w:rsid w:val="008357F7"/>
    <w:rsid w:val="008378B9"/>
    <w:rsid w:val="00845077"/>
    <w:rsid w:val="00845202"/>
    <w:rsid w:val="0084583A"/>
    <w:rsid w:val="00854286"/>
    <w:rsid w:val="008561EF"/>
    <w:rsid w:val="00861255"/>
    <w:rsid w:val="00862BDD"/>
    <w:rsid w:val="00864A42"/>
    <w:rsid w:val="00890F66"/>
    <w:rsid w:val="008B6996"/>
    <w:rsid w:val="008D508E"/>
    <w:rsid w:val="008E5B22"/>
    <w:rsid w:val="008F7B2C"/>
    <w:rsid w:val="0091176D"/>
    <w:rsid w:val="009175F0"/>
    <w:rsid w:val="00921354"/>
    <w:rsid w:val="00945A50"/>
    <w:rsid w:val="00946918"/>
    <w:rsid w:val="009655B0"/>
    <w:rsid w:val="00971318"/>
    <w:rsid w:val="00981D69"/>
    <w:rsid w:val="00997D32"/>
    <w:rsid w:val="009A789A"/>
    <w:rsid w:val="009B19F7"/>
    <w:rsid w:val="009B50A9"/>
    <w:rsid w:val="009D3EFF"/>
    <w:rsid w:val="009E6450"/>
    <w:rsid w:val="009F2A9E"/>
    <w:rsid w:val="009F43D8"/>
    <w:rsid w:val="009F4C88"/>
    <w:rsid w:val="009F5271"/>
    <w:rsid w:val="009F5A6B"/>
    <w:rsid w:val="00A05EA2"/>
    <w:rsid w:val="00A1494E"/>
    <w:rsid w:val="00A3184B"/>
    <w:rsid w:val="00A351DA"/>
    <w:rsid w:val="00A4591B"/>
    <w:rsid w:val="00A650CC"/>
    <w:rsid w:val="00A6619D"/>
    <w:rsid w:val="00A70BA3"/>
    <w:rsid w:val="00A71E83"/>
    <w:rsid w:val="00A74869"/>
    <w:rsid w:val="00A81BF8"/>
    <w:rsid w:val="00A866B0"/>
    <w:rsid w:val="00AA5E03"/>
    <w:rsid w:val="00AA5EB6"/>
    <w:rsid w:val="00AB37F4"/>
    <w:rsid w:val="00AB4CF4"/>
    <w:rsid w:val="00AC4D1C"/>
    <w:rsid w:val="00AD3C05"/>
    <w:rsid w:val="00AD7C20"/>
    <w:rsid w:val="00AD7CB3"/>
    <w:rsid w:val="00AF2665"/>
    <w:rsid w:val="00B04DB2"/>
    <w:rsid w:val="00B15B6D"/>
    <w:rsid w:val="00B2170F"/>
    <w:rsid w:val="00B2542C"/>
    <w:rsid w:val="00B356F4"/>
    <w:rsid w:val="00B50C9F"/>
    <w:rsid w:val="00B50FD6"/>
    <w:rsid w:val="00B73016"/>
    <w:rsid w:val="00B7548C"/>
    <w:rsid w:val="00B96549"/>
    <w:rsid w:val="00BB4387"/>
    <w:rsid w:val="00BC2FA7"/>
    <w:rsid w:val="00BC3FBF"/>
    <w:rsid w:val="00BC5E88"/>
    <w:rsid w:val="00BE053A"/>
    <w:rsid w:val="00BE10EC"/>
    <w:rsid w:val="00BE409F"/>
    <w:rsid w:val="00C24124"/>
    <w:rsid w:val="00C262FB"/>
    <w:rsid w:val="00C328DE"/>
    <w:rsid w:val="00C37732"/>
    <w:rsid w:val="00C472F5"/>
    <w:rsid w:val="00C475FE"/>
    <w:rsid w:val="00C50863"/>
    <w:rsid w:val="00C559CF"/>
    <w:rsid w:val="00C65CE1"/>
    <w:rsid w:val="00C777B5"/>
    <w:rsid w:val="00C82D7A"/>
    <w:rsid w:val="00C87585"/>
    <w:rsid w:val="00C90488"/>
    <w:rsid w:val="00C95C98"/>
    <w:rsid w:val="00CA4ECE"/>
    <w:rsid w:val="00CD1198"/>
    <w:rsid w:val="00CD39CB"/>
    <w:rsid w:val="00CD3B5B"/>
    <w:rsid w:val="00CD4EEC"/>
    <w:rsid w:val="00CD7E59"/>
    <w:rsid w:val="00CF369C"/>
    <w:rsid w:val="00CF3835"/>
    <w:rsid w:val="00CF724E"/>
    <w:rsid w:val="00D036AB"/>
    <w:rsid w:val="00D25A61"/>
    <w:rsid w:val="00D25DFD"/>
    <w:rsid w:val="00D33319"/>
    <w:rsid w:val="00D36462"/>
    <w:rsid w:val="00D421FF"/>
    <w:rsid w:val="00D45D56"/>
    <w:rsid w:val="00D52616"/>
    <w:rsid w:val="00D837CC"/>
    <w:rsid w:val="00D8434C"/>
    <w:rsid w:val="00D8549E"/>
    <w:rsid w:val="00D87653"/>
    <w:rsid w:val="00D87C50"/>
    <w:rsid w:val="00D9385B"/>
    <w:rsid w:val="00D94415"/>
    <w:rsid w:val="00D961BF"/>
    <w:rsid w:val="00DA213A"/>
    <w:rsid w:val="00DA6AD0"/>
    <w:rsid w:val="00DA7C51"/>
    <w:rsid w:val="00DA7FAF"/>
    <w:rsid w:val="00DB0EF9"/>
    <w:rsid w:val="00DB3948"/>
    <w:rsid w:val="00DB3B73"/>
    <w:rsid w:val="00DC447E"/>
    <w:rsid w:val="00DC6A4D"/>
    <w:rsid w:val="00DF58D0"/>
    <w:rsid w:val="00DF7D5B"/>
    <w:rsid w:val="00E0333A"/>
    <w:rsid w:val="00E03F68"/>
    <w:rsid w:val="00E05F2D"/>
    <w:rsid w:val="00E06F79"/>
    <w:rsid w:val="00E16358"/>
    <w:rsid w:val="00E26E8F"/>
    <w:rsid w:val="00E31C11"/>
    <w:rsid w:val="00E374F8"/>
    <w:rsid w:val="00E423B2"/>
    <w:rsid w:val="00E432A8"/>
    <w:rsid w:val="00E44B5C"/>
    <w:rsid w:val="00E55CAA"/>
    <w:rsid w:val="00E6058F"/>
    <w:rsid w:val="00E62EF1"/>
    <w:rsid w:val="00E71402"/>
    <w:rsid w:val="00E770D1"/>
    <w:rsid w:val="00E85C61"/>
    <w:rsid w:val="00E879C0"/>
    <w:rsid w:val="00E87C80"/>
    <w:rsid w:val="00E91970"/>
    <w:rsid w:val="00EA5E7F"/>
    <w:rsid w:val="00EB3531"/>
    <w:rsid w:val="00EB6312"/>
    <w:rsid w:val="00EC1774"/>
    <w:rsid w:val="00EC391E"/>
    <w:rsid w:val="00ED3DF0"/>
    <w:rsid w:val="00EE28D2"/>
    <w:rsid w:val="00EE46EF"/>
    <w:rsid w:val="00EF272A"/>
    <w:rsid w:val="00EF5FDA"/>
    <w:rsid w:val="00EF70A2"/>
    <w:rsid w:val="00F05F90"/>
    <w:rsid w:val="00F0644D"/>
    <w:rsid w:val="00F157F7"/>
    <w:rsid w:val="00F20EE5"/>
    <w:rsid w:val="00F2382C"/>
    <w:rsid w:val="00F242CB"/>
    <w:rsid w:val="00F27C77"/>
    <w:rsid w:val="00F33331"/>
    <w:rsid w:val="00F36D35"/>
    <w:rsid w:val="00F434BC"/>
    <w:rsid w:val="00F466BC"/>
    <w:rsid w:val="00F57056"/>
    <w:rsid w:val="00F60E2D"/>
    <w:rsid w:val="00F66D94"/>
    <w:rsid w:val="00F73C6D"/>
    <w:rsid w:val="00F92BD5"/>
    <w:rsid w:val="00F96C07"/>
    <w:rsid w:val="00FA54AA"/>
    <w:rsid w:val="00FA5D3A"/>
    <w:rsid w:val="00FB0007"/>
    <w:rsid w:val="00FB418C"/>
    <w:rsid w:val="00FB5694"/>
    <w:rsid w:val="00FC1485"/>
    <w:rsid w:val="00FC2DB5"/>
    <w:rsid w:val="00FE058D"/>
    <w:rsid w:val="00FE0785"/>
    <w:rsid w:val="00FE126A"/>
    <w:rsid w:val="00FE7328"/>
    <w:rsid w:val="00FF07AE"/>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lang w:val="en-US"/>
    </w:rPr>
  </w:style>
  <w:style w:type="paragraph" w:styleId="Heading1">
    <w:name w:val="heading 1"/>
    <w:basedOn w:val="Normal"/>
    <w:next w:val="Normal"/>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uiPriority w:val="99"/>
    <w:pPr>
      <w:tabs>
        <w:tab w:val="left" w:pos="0"/>
        <w:tab w:val="center" w:pos="4320"/>
        <w:tab w:val="right" w:pos="8640"/>
        <w:tab w:val="right" w:pos="9360"/>
      </w:tabs>
    </w:pPr>
    <w:rPr>
      <w:lang/>
    </w:rPr>
  </w:style>
  <w:style w:type="paragraph" w:styleId="Footer">
    <w:name w:val="footer"/>
    <w:basedOn w:val="Normal"/>
    <w:link w:val="FooterChar"/>
    <w:uiPriority w:val="99"/>
    <w:pPr>
      <w:tabs>
        <w:tab w:val="left" w:pos="0"/>
        <w:tab w:val="center" w:pos="4320"/>
        <w:tab w:val="right" w:pos="8640"/>
        <w:tab w:val="right" w:pos="9360"/>
      </w:tabs>
    </w:pPr>
    <w:rPr>
      <w:lang/>
    </w:rPr>
  </w:style>
  <w:style w:type="character" w:styleId="PageNumber">
    <w:name w:val="page number"/>
    <w:basedOn w:val="DefaultParagraphFont"/>
    <w:rsid w:val="00D45D56"/>
  </w:style>
  <w:style w:type="paragraph" w:styleId="BalloonText">
    <w:name w:val="Balloon Text"/>
    <w:basedOn w:val="Normal"/>
    <w:semiHidden/>
    <w:rsid w:val="00D8434C"/>
    <w:rPr>
      <w:rFonts w:ascii="Tahoma" w:hAnsi="Tahoma" w:cs="Tahoma"/>
      <w:sz w:val="16"/>
      <w:szCs w:val="16"/>
    </w:rPr>
  </w:style>
  <w:style w:type="table" w:styleId="TableGrid">
    <w:name w:val="Table Grid"/>
    <w:basedOn w:val="TableNormal"/>
    <w:rsid w:val="0038263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E05F2D"/>
    <w:rPr>
      <w:color w:val="800080"/>
      <w:u w:val="single"/>
    </w:rPr>
  </w:style>
  <w:style w:type="paragraph" w:customStyle="1" w:styleId="Default">
    <w:name w:val="Default"/>
    <w:rsid w:val="00AA5E0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478E3"/>
    <w:pPr>
      <w:ind w:left="720"/>
    </w:pPr>
  </w:style>
  <w:style w:type="character" w:styleId="Hyperlink">
    <w:name w:val="Hyperlink"/>
    <w:rsid w:val="00A71E83"/>
    <w:rPr>
      <w:color w:val="0000FF"/>
      <w:u w:val="single"/>
    </w:rPr>
  </w:style>
  <w:style w:type="character" w:styleId="CommentReference">
    <w:name w:val="annotation reference"/>
    <w:rsid w:val="00792BC1"/>
    <w:rPr>
      <w:sz w:val="16"/>
      <w:szCs w:val="16"/>
    </w:rPr>
  </w:style>
  <w:style w:type="paragraph" w:styleId="CommentText">
    <w:name w:val="annotation text"/>
    <w:basedOn w:val="Normal"/>
    <w:link w:val="CommentTextChar"/>
    <w:rsid w:val="00792BC1"/>
    <w:rPr>
      <w:sz w:val="20"/>
      <w:szCs w:val="20"/>
      <w:lang/>
    </w:rPr>
  </w:style>
  <w:style w:type="character" w:customStyle="1" w:styleId="CommentTextChar">
    <w:name w:val="Comment Text Char"/>
    <w:link w:val="CommentText"/>
    <w:rsid w:val="00792BC1"/>
    <w:rPr>
      <w:lang w:val="en-US"/>
    </w:rPr>
  </w:style>
  <w:style w:type="paragraph" w:styleId="CommentSubject">
    <w:name w:val="annotation subject"/>
    <w:basedOn w:val="CommentText"/>
    <w:next w:val="CommentText"/>
    <w:link w:val="CommentSubjectChar"/>
    <w:rsid w:val="00792BC1"/>
    <w:rPr>
      <w:b/>
      <w:bCs/>
    </w:rPr>
  </w:style>
  <w:style w:type="character" w:customStyle="1" w:styleId="CommentSubjectChar">
    <w:name w:val="Comment Subject Char"/>
    <w:link w:val="CommentSubject"/>
    <w:rsid w:val="00792BC1"/>
    <w:rPr>
      <w:b/>
      <w:bCs/>
      <w:lang w:val="en-US"/>
    </w:rPr>
  </w:style>
  <w:style w:type="paragraph" w:customStyle="1" w:styleId="BlakesDocID">
    <w:name w:val="Blakes DocID"/>
    <w:basedOn w:val="Normal"/>
    <w:link w:val="BlakesDocIDChar"/>
    <w:uiPriority w:val="99"/>
    <w:semiHidden/>
    <w:rsid w:val="00333171"/>
    <w:pPr>
      <w:widowControl/>
      <w:autoSpaceDE/>
      <w:autoSpaceDN/>
      <w:adjustRightInd/>
      <w:spacing w:after="200"/>
    </w:pPr>
    <w:rPr>
      <w:rFonts w:ascii="Calibri" w:eastAsia="Calibri" w:hAnsi="Calibri"/>
      <w:sz w:val="16"/>
      <w:szCs w:val="21"/>
      <w:lang w:val="en-CA"/>
    </w:rPr>
  </w:style>
  <w:style w:type="character" w:customStyle="1" w:styleId="BlakesDocIDChar">
    <w:name w:val="Blakes DocID Char"/>
    <w:link w:val="BlakesDocID"/>
    <w:uiPriority w:val="99"/>
    <w:semiHidden/>
    <w:rsid w:val="00CF724E"/>
    <w:rPr>
      <w:rFonts w:ascii="Calibri" w:eastAsia="Calibri" w:hAnsi="Calibri" w:cs="Times New Roman"/>
      <w:sz w:val="16"/>
      <w:szCs w:val="21"/>
      <w:lang w:val="en-CA"/>
    </w:rPr>
  </w:style>
  <w:style w:type="character" w:customStyle="1" w:styleId="HeaderChar">
    <w:name w:val="Header Char"/>
    <w:link w:val="Header"/>
    <w:uiPriority w:val="99"/>
    <w:rsid w:val="00CF724E"/>
    <w:rPr>
      <w:sz w:val="24"/>
      <w:szCs w:val="24"/>
      <w:lang w:eastAsia="en-CA"/>
    </w:rPr>
  </w:style>
  <w:style w:type="character" w:customStyle="1" w:styleId="ACLCourtDocsFirmLawyers">
    <w:name w:val="ACL CourtDocs Firm Lawyers"/>
    <w:hidden/>
    <w:rsid w:val="00700B05"/>
    <w:rPr>
      <w:rFonts w:ascii="Arial" w:hAnsi="Arial"/>
    </w:rPr>
  </w:style>
  <w:style w:type="character" w:customStyle="1" w:styleId="ACLCourtDocsFirmLawyersPhone">
    <w:name w:val="ACL CourtDocs Firm Lawyers Phone"/>
    <w:hidden/>
    <w:rsid w:val="00700B05"/>
    <w:rPr>
      <w:rFonts w:ascii="Arial" w:hAnsi="Arial"/>
    </w:rPr>
  </w:style>
  <w:style w:type="character" w:customStyle="1" w:styleId="ACLLLP">
    <w:name w:val="ACL LLP"/>
    <w:hidden/>
    <w:rsid w:val="00700B05"/>
    <w:rPr>
      <w:rFonts w:ascii="Arial" w:hAnsi="Arial"/>
    </w:rPr>
  </w:style>
  <w:style w:type="paragraph" w:customStyle="1" w:styleId="Style1">
    <w:name w:val="Style 1"/>
    <w:uiPriority w:val="99"/>
    <w:rsid w:val="000D7AD8"/>
    <w:pPr>
      <w:widowControl w:val="0"/>
      <w:autoSpaceDE w:val="0"/>
      <w:autoSpaceDN w:val="0"/>
      <w:adjustRightInd w:val="0"/>
    </w:pPr>
    <w:rPr>
      <w:sz w:val="22"/>
      <w:szCs w:val="22"/>
      <w:lang w:val="en-US" w:eastAsia="en-US"/>
    </w:rPr>
  </w:style>
  <w:style w:type="paragraph" w:customStyle="1" w:styleId="Style2">
    <w:name w:val="Style 2"/>
    <w:uiPriority w:val="99"/>
    <w:rsid w:val="000D7AD8"/>
    <w:pPr>
      <w:widowControl w:val="0"/>
      <w:autoSpaceDE w:val="0"/>
      <w:autoSpaceDN w:val="0"/>
      <w:adjustRightInd w:val="0"/>
    </w:pPr>
    <w:rPr>
      <w:lang w:val="en-US" w:eastAsia="en-US"/>
    </w:rPr>
  </w:style>
  <w:style w:type="character" w:customStyle="1" w:styleId="CharacterStyle1">
    <w:name w:val="Character Style 1"/>
    <w:uiPriority w:val="99"/>
    <w:rsid w:val="000D7AD8"/>
    <w:rPr>
      <w:sz w:val="22"/>
      <w:szCs w:val="22"/>
    </w:rPr>
  </w:style>
  <w:style w:type="paragraph" w:customStyle="1" w:styleId="CorporateAgreement15">
    <w:name w:val="Corporate_Agreement1_5"/>
    <w:basedOn w:val="Normal"/>
    <w:next w:val="Normal"/>
    <w:link w:val="CorporateAgreement15Char"/>
    <w:rsid w:val="000D7AD8"/>
    <w:pPr>
      <w:widowControl/>
      <w:numPr>
        <w:ilvl w:val="4"/>
        <w:numId w:val="1"/>
      </w:numPr>
      <w:spacing w:after="240"/>
      <w:outlineLvl w:val="4"/>
    </w:pPr>
    <w:rPr>
      <w:rFonts w:ascii="Arial" w:hAnsi="Arial"/>
      <w:sz w:val="21"/>
      <w:szCs w:val="22"/>
      <w:lang w:val="en-GB"/>
    </w:rPr>
  </w:style>
  <w:style w:type="character" w:customStyle="1" w:styleId="CorporateAgreement15Char">
    <w:name w:val="Corporate_Agreement1_5 Char"/>
    <w:link w:val="CorporateAgreement15"/>
    <w:rsid w:val="000D7AD8"/>
    <w:rPr>
      <w:rFonts w:ascii="Arial" w:hAnsi="Arial" w:cs="Arial"/>
      <w:sz w:val="21"/>
      <w:szCs w:val="22"/>
      <w:lang w:val="en-GB" w:eastAsia="en-CA"/>
    </w:rPr>
  </w:style>
  <w:style w:type="paragraph" w:customStyle="1" w:styleId="CorporateAgreement14">
    <w:name w:val="Corporate_Agreement1_4"/>
    <w:basedOn w:val="Normal"/>
    <w:next w:val="Normal"/>
    <w:link w:val="CorporateAgreement14Char"/>
    <w:rsid w:val="000D7AD8"/>
    <w:pPr>
      <w:widowControl/>
      <w:numPr>
        <w:ilvl w:val="3"/>
        <w:numId w:val="1"/>
      </w:numPr>
      <w:spacing w:after="240"/>
      <w:outlineLvl w:val="3"/>
    </w:pPr>
    <w:rPr>
      <w:rFonts w:ascii="Arial" w:hAnsi="Arial"/>
      <w:sz w:val="21"/>
      <w:szCs w:val="22"/>
      <w:lang w:val="en-GB"/>
    </w:rPr>
  </w:style>
  <w:style w:type="character" w:customStyle="1" w:styleId="CorporateAgreement14Char">
    <w:name w:val="Corporate_Agreement1_4 Char"/>
    <w:link w:val="CorporateAgreement14"/>
    <w:rsid w:val="000D7AD8"/>
    <w:rPr>
      <w:rFonts w:ascii="Arial" w:hAnsi="Arial" w:cs="Arial"/>
      <w:sz w:val="21"/>
      <w:szCs w:val="22"/>
      <w:lang w:val="en-GB" w:eastAsia="en-CA"/>
    </w:rPr>
  </w:style>
  <w:style w:type="paragraph" w:customStyle="1" w:styleId="CorporateAgreement13">
    <w:name w:val="Corporate_Agreement1_3"/>
    <w:basedOn w:val="Normal"/>
    <w:next w:val="Normal"/>
    <w:link w:val="CorporateAgreement13Char"/>
    <w:rsid w:val="000D7AD8"/>
    <w:pPr>
      <w:widowControl/>
      <w:numPr>
        <w:ilvl w:val="2"/>
        <w:numId w:val="1"/>
      </w:numPr>
      <w:spacing w:after="240"/>
      <w:outlineLvl w:val="2"/>
    </w:pPr>
    <w:rPr>
      <w:rFonts w:ascii="Arial" w:hAnsi="Arial"/>
      <w:sz w:val="21"/>
      <w:szCs w:val="22"/>
      <w:lang w:val="en-GB"/>
    </w:rPr>
  </w:style>
  <w:style w:type="character" w:customStyle="1" w:styleId="CorporateAgreement13Char">
    <w:name w:val="Corporate_Agreement1_3 Char"/>
    <w:link w:val="CorporateAgreement13"/>
    <w:rsid w:val="000D7AD8"/>
    <w:rPr>
      <w:rFonts w:ascii="Arial" w:hAnsi="Arial" w:cs="Arial"/>
      <w:sz w:val="21"/>
      <w:szCs w:val="22"/>
      <w:lang w:val="en-GB" w:eastAsia="en-CA"/>
    </w:rPr>
  </w:style>
  <w:style w:type="paragraph" w:customStyle="1" w:styleId="CorporateAgreement12">
    <w:name w:val="Corporate_Agreement1_2"/>
    <w:basedOn w:val="Normal"/>
    <w:next w:val="Normal"/>
    <w:link w:val="CorporateAgreement12Char"/>
    <w:rsid w:val="000D7AD8"/>
    <w:pPr>
      <w:widowControl/>
      <w:numPr>
        <w:ilvl w:val="1"/>
        <w:numId w:val="1"/>
      </w:numPr>
      <w:spacing w:after="240"/>
      <w:jc w:val="both"/>
      <w:outlineLvl w:val="1"/>
    </w:pPr>
    <w:rPr>
      <w:rFonts w:ascii="Arial" w:hAnsi="Arial"/>
      <w:sz w:val="21"/>
      <w:szCs w:val="22"/>
      <w:lang w:val="en-GB"/>
    </w:rPr>
  </w:style>
  <w:style w:type="character" w:customStyle="1" w:styleId="CorporateAgreement12Char">
    <w:name w:val="Corporate_Agreement1_2 Char"/>
    <w:link w:val="CorporateAgreement12"/>
    <w:rsid w:val="000D7AD8"/>
    <w:rPr>
      <w:rFonts w:ascii="Arial" w:hAnsi="Arial" w:cs="Arial"/>
      <w:sz w:val="21"/>
      <w:szCs w:val="22"/>
      <w:lang w:val="en-GB" w:eastAsia="en-CA"/>
    </w:rPr>
  </w:style>
  <w:style w:type="paragraph" w:customStyle="1" w:styleId="CorporateAgreement11">
    <w:name w:val="Corporate_Agreement1_1"/>
    <w:basedOn w:val="Normal"/>
    <w:next w:val="Normal"/>
    <w:link w:val="CorporateAgreement11Char"/>
    <w:rsid w:val="000D7AD8"/>
    <w:pPr>
      <w:widowControl/>
      <w:numPr>
        <w:numId w:val="1"/>
      </w:numPr>
      <w:spacing w:after="240"/>
      <w:jc w:val="both"/>
      <w:outlineLvl w:val="0"/>
    </w:pPr>
    <w:rPr>
      <w:rFonts w:ascii="Arial" w:hAnsi="Arial"/>
      <w:sz w:val="21"/>
      <w:szCs w:val="22"/>
      <w:lang w:val="en-GB"/>
    </w:rPr>
  </w:style>
  <w:style w:type="character" w:customStyle="1" w:styleId="CorporateAgreement11Char">
    <w:name w:val="Corporate_Agreement1_1 Char"/>
    <w:link w:val="CorporateAgreement11"/>
    <w:rsid w:val="000D7AD8"/>
    <w:rPr>
      <w:rFonts w:ascii="Arial" w:hAnsi="Arial" w:cs="Arial"/>
      <w:sz w:val="21"/>
      <w:szCs w:val="22"/>
      <w:lang w:val="en-GB" w:eastAsia="en-CA"/>
    </w:rPr>
  </w:style>
  <w:style w:type="character" w:customStyle="1" w:styleId="FooterChar">
    <w:name w:val="Footer Char"/>
    <w:link w:val="Footer"/>
    <w:uiPriority w:val="99"/>
    <w:rsid w:val="00FF07AE"/>
    <w:rPr>
      <w:sz w:val="24"/>
      <w:szCs w:val="24"/>
      <w:lang w:eastAsia="en-CA"/>
    </w:rPr>
  </w:style>
</w:styles>
</file>

<file path=word/webSettings.xml><?xml version="1.0" encoding="utf-8"?>
<w:webSettings xmlns:r="http://schemas.openxmlformats.org/officeDocument/2006/relationships" xmlns:w="http://schemas.openxmlformats.org/wordprocessingml/2006/main">
  <w:optimizeForBrowser/>
  <w:doNotSaveAsSingleFile/>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tim.bermingham@blakes.com"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chatt@ecojustice.c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aul.demedeiros@ontario.ca" TargetMode="Externa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ustin.jacob@ontario.ca"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3181</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21277</CharactersWithSpaces>
  <SharedDoc>false</SharedDoc>
  <HLinks>
    <vt:vector size="24" baseType="variant">
      <vt:variant>
        <vt:i4>3342339</vt:i4>
      </vt:variant>
      <vt:variant>
        <vt:i4>9</vt:i4>
      </vt:variant>
      <vt:variant>
        <vt:i4>0</vt:i4>
      </vt:variant>
      <vt:variant>
        <vt:i4>5</vt:i4>
      </vt:variant>
      <vt:variant>
        <vt:lpwstr>mailto:chatt@ecojustice.ca</vt:lpwstr>
      </vt:variant>
      <vt:variant>
        <vt:lpwstr/>
      </vt:variant>
      <vt:variant>
        <vt:i4>4718628</vt:i4>
      </vt:variant>
      <vt:variant>
        <vt:i4>6</vt:i4>
      </vt:variant>
      <vt:variant>
        <vt:i4>0</vt:i4>
      </vt:variant>
      <vt:variant>
        <vt:i4>5</vt:i4>
      </vt:variant>
      <vt:variant>
        <vt:lpwstr>mailto:paul.demedeiros@ontario.ca</vt:lpwstr>
      </vt:variant>
      <vt:variant>
        <vt:lpwstr/>
      </vt:variant>
      <vt:variant>
        <vt:i4>5963819</vt:i4>
      </vt:variant>
      <vt:variant>
        <vt:i4>3</vt:i4>
      </vt:variant>
      <vt:variant>
        <vt:i4>0</vt:i4>
      </vt:variant>
      <vt:variant>
        <vt:i4>5</vt:i4>
      </vt:variant>
      <vt:variant>
        <vt:lpwstr>mailto:Justin.jacob@ontario.ca</vt:lpwstr>
      </vt:variant>
      <vt:variant>
        <vt:lpwstr/>
      </vt:variant>
      <vt:variant>
        <vt:i4>4063305</vt:i4>
      </vt:variant>
      <vt:variant>
        <vt:i4>0</vt:i4>
      </vt:variant>
      <vt:variant>
        <vt:i4>0</vt:i4>
      </vt:variant>
      <vt:variant>
        <vt:i4>5</vt:i4>
      </vt:variant>
      <vt:variant>
        <vt:lpwstr>mailto:tim.bermingham@blakes.com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1601-01-01T00:00:00Z</cp:lastPrinted>
  <dcterms:created xsi:type="dcterms:W3CDTF">2013-04-30T20:28:00Z</dcterms:created>
  <dcterms:modified xsi:type="dcterms:W3CDTF">2013-04-30T20:28:00Z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oFAAoY+b3dyoaiRMM4I01f0khcRdgRNOGJcX807q6rr4XhyUQte5F4DE0os/tmw1v9YKvUzQjMeJHVZR_x000d_
yaxxdgNBCuZWnIqRZLG8udHtZibL1Z5/8T+IXBHHlMi5nvvR0DqlZFJgKdqsCJsZjvOrHdcRkToi_x000d_
Zn6j2ZoYIGA5LlGF1cN8oFM8xXGf9AhY2K63a+IjZTgZU5U+lN+pZOEfZO3nCldsaE/dCGfaIQYI_x000d_
RaoGal9A28NEYkZt4</vt:lpwstr>
  </property>
  <property fmtid="{D5CDD505-2E9C-101B-9397-08002B2CF9AE}" pid="3" name="MAIL_MSG_ID2">
    <vt:lpwstr>vXaunbfgYHZpqU1vmgTTxou94hbgPry984uRxHPYdIX2CUCubtLbBLaOd1f_x000d_
k5TTNxDAIgD4YEu8xXSw3FUJC9xNrzV8gO7AjZExVRl5QPl3</vt:lpwstr>
  </property>
  <property fmtid="{D5CDD505-2E9C-101B-9397-08002B2CF9AE}" pid="4" name="RESPONSE_SENDER_NAME">
    <vt:lpwstr>4AAA4Lxe55UJ0C+/nDbgDGUbppx6EzcPskJS8bA0qAbQexUqBKv4bj/ANA==</vt:lpwstr>
  </property>
  <property fmtid="{D5CDD505-2E9C-101B-9397-08002B2CF9AE}" pid="5" name="EMAIL_OWNER_ADDRESS">
    <vt:lpwstr>4AAAv2pPQheLA5XfQvLs7Hqj4HVhHQ+7+v5BF4zDA1VsQFEX7+7LdOs05A==</vt:lpwstr>
  </property>
  <property fmtid="{D5CDD505-2E9C-101B-9397-08002B2CF9AE}" pid="6" name="DocXDocID">
    <vt:lpwstr>22378155.3</vt:lpwstr>
  </property>
  <property fmtid="{D5CDD505-2E9C-101B-9397-08002B2CF9AE}" pid="7" name="DocXLocation">
    <vt:lpwstr>Every Page</vt:lpwstr>
  </property>
  <property fmtid="{D5CDD505-2E9C-101B-9397-08002B2CF9AE}" pid="8" name="DocXFormat">
    <vt:lpwstr>Blakes DocID</vt:lpwstr>
  </property>
</Properties>
</file>