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A1" w:rsidRPr="003F6BD5" w:rsidRDefault="0009251A" w:rsidP="0009251A">
      <w:pPr>
        <w:jc w:val="center"/>
        <w:rPr>
          <w:rFonts w:ascii="Arial" w:hAnsi="Arial" w:cs="Arial"/>
          <w:i/>
          <w:sz w:val="36"/>
          <w:szCs w:val="36"/>
        </w:rPr>
      </w:pPr>
      <w:bookmarkStart w:id="0" w:name="_GoBack"/>
      <w:r w:rsidRPr="003F6BD5">
        <w:rPr>
          <w:rFonts w:ascii="Arial" w:hAnsi="Arial" w:cs="Arial"/>
          <w:i/>
          <w:sz w:val="36"/>
          <w:szCs w:val="36"/>
        </w:rPr>
        <w:t>MUNICIPAL GOVERNMENT LIABILITY AND LITIGATION</w:t>
      </w:r>
    </w:p>
    <w:bookmarkEnd w:id="0"/>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24"/>
          <w:szCs w:val="24"/>
        </w:rPr>
      </w:pPr>
    </w:p>
    <w:p w:rsidR="00A76AA0" w:rsidRPr="0009251A" w:rsidRDefault="00A76AA0" w:rsidP="00A76AA0">
      <w:pPr>
        <w:rPr>
          <w:rFonts w:ascii="Arial" w:hAnsi="Arial" w:cs="Arial"/>
          <w:sz w:val="24"/>
          <w:szCs w:val="24"/>
        </w:rPr>
      </w:pPr>
    </w:p>
    <w:p w:rsidR="00A76AA0" w:rsidRPr="00A76AA0" w:rsidRDefault="00A76AA0" w:rsidP="00A76AA0">
      <w:pPr>
        <w:jc w:val="center"/>
        <w:rPr>
          <w:rFonts w:ascii="Arial" w:hAnsi="Arial" w:cs="Arial"/>
          <w:sz w:val="36"/>
          <w:szCs w:val="36"/>
        </w:rPr>
      </w:pPr>
      <w:proofErr w:type="spellStart"/>
      <w:r w:rsidRPr="00A76AA0">
        <w:rPr>
          <w:rFonts w:ascii="Arial" w:hAnsi="Arial" w:cs="Arial"/>
          <w:sz w:val="36"/>
          <w:szCs w:val="36"/>
        </w:rPr>
        <w:t>Osgoode</w:t>
      </w:r>
      <w:proofErr w:type="spellEnd"/>
      <w:r w:rsidRPr="00A76AA0">
        <w:rPr>
          <w:rFonts w:ascii="Arial" w:hAnsi="Arial" w:cs="Arial"/>
          <w:sz w:val="36"/>
          <w:szCs w:val="36"/>
        </w:rPr>
        <w:t xml:space="preserve"> Professional Development</w:t>
      </w:r>
    </w:p>
    <w:p w:rsidR="00A76AA0" w:rsidRPr="00A76AA0" w:rsidRDefault="00A76AA0" w:rsidP="00A76AA0">
      <w:pPr>
        <w:jc w:val="center"/>
        <w:rPr>
          <w:rFonts w:ascii="Arial" w:hAnsi="Arial" w:cs="Arial"/>
          <w:sz w:val="36"/>
          <w:szCs w:val="36"/>
        </w:rPr>
      </w:pPr>
      <w:r w:rsidRPr="00A76AA0">
        <w:rPr>
          <w:rFonts w:ascii="Arial" w:hAnsi="Arial" w:cs="Arial"/>
          <w:sz w:val="36"/>
          <w:szCs w:val="36"/>
        </w:rPr>
        <w:t>June 17, 2014</w:t>
      </w:r>
    </w:p>
    <w:p w:rsidR="00A76AA0" w:rsidRPr="0009251A" w:rsidRDefault="00A76AA0" w:rsidP="00A76AA0">
      <w:pPr>
        <w:jc w:val="center"/>
        <w:rPr>
          <w:rFonts w:ascii="Arial" w:hAnsi="Arial" w:cs="Arial"/>
          <w:sz w:val="32"/>
          <w:szCs w:val="32"/>
        </w:rPr>
      </w:pPr>
    </w:p>
    <w:p w:rsidR="00A76AA0" w:rsidRDefault="00A76AA0" w:rsidP="00A76AA0">
      <w:pPr>
        <w:jc w:val="center"/>
        <w:rPr>
          <w:rFonts w:ascii="Arial" w:hAnsi="Arial" w:cs="Arial"/>
          <w:sz w:val="32"/>
          <w:szCs w:val="32"/>
        </w:rPr>
      </w:pPr>
    </w:p>
    <w:p w:rsidR="00A76AA0" w:rsidRDefault="00A76AA0" w:rsidP="00A76AA0">
      <w:pPr>
        <w:jc w:val="center"/>
        <w:rPr>
          <w:rFonts w:ascii="Arial" w:hAnsi="Arial" w:cs="Arial"/>
          <w:sz w:val="32"/>
          <w:szCs w:val="32"/>
        </w:rPr>
      </w:pPr>
    </w:p>
    <w:p w:rsidR="00A76AA0" w:rsidRPr="0009251A" w:rsidRDefault="00A76AA0" w:rsidP="00A76AA0">
      <w:pPr>
        <w:jc w:val="center"/>
        <w:rPr>
          <w:rFonts w:ascii="Arial" w:hAnsi="Arial" w:cs="Arial"/>
          <w:sz w:val="32"/>
          <w:szCs w:val="32"/>
        </w:rPr>
      </w:pPr>
    </w:p>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24"/>
          <w:szCs w:val="24"/>
        </w:rPr>
      </w:pPr>
    </w:p>
    <w:p w:rsidR="0009251A" w:rsidRPr="00AE45F1" w:rsidRDefault="0009251A" w:rsidP="0009251A">
      <w:pPr>
        <w:jc w:val="center"/>
        <w:rPr>
          <w:rFonts w:ascii="Arial" w:hAnsi="Arial" w:cs="Arial"/>
          <w:b/>
          <w:sz w:val="72"/>
          <w:szCs w:val="72"/>
          <w14:shadow w14:blurRad="50800" w14:dist="38100" w14:dir="2700000" w14:sx="100000" w14:sy="100000" w14:kx="0" w14:ky="0" w14:algn="tl">
            <w14:srgbClr w14:val="000000">
              <w14:alpha w14:val="60000"/>
            </w14:srgbClr>
          </w14:shadow>
        </w:rPr>
      </w:pPr>
      <w:r w:rsidRPr="00AE45F1">
        <w:rPr>
          <w:rFonts w:ascii="Arial" w:hAnsi="Arial" w:cs="Arial"/>
          <w:b/>
          <w:sz w:val="72"/>
          <w:szCs w:val="72"/>
          <w14:shadow w14:blurRad="50800" w14:dist="38100" w14:dir="2700000" w14:sx="100000" w14:sy="100000" w14:kx="0" w14:ky="0" w14:algn="tl">
            <w14:srgbClr w14:val="000000">
              <w14:alpha w14:val="60000"/>
            </w14:srgbClr>
          </w14:shadow>
        </w:rPr>
        <w:t>CURRENT ENVIRONMENTAL LIABILITY ISSUES FOR MUNICIPALITIES</w:t>
      </w:r>
    </w:p>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24"/>
          <w:szCs w:val="24"/>
        </w:rPr>
      </w:pPr>
    </w:p>
    <w:p w:rsidR="0009251A" w:rsidRDefault="0009251A" w:rsidP="0009251A">
      <w:pPr>
        <w:jc w:val="center"/>
        <w:rPr>
          <w:rFonts w:ascii="Arial" w:hAnsi="Arial" w:cs="Arial"/>
          <w:sz w:val="32"/>
          <w:szCs w:val="32"/>
        </w:rPr>
      </w:pPr>
    </w:p>
    <w:p w:rsidR="0009251A" w:rsidRDefault="0009251A" w:rsidP="0009251A">
      <w:pPr>
        <w:jc w:val="center"/>
        <w:rPr>
          <w:rFonts w:ascii="Arial" w:hAnsi="Arial" w:cs="Arial"/>
          <w:sz w:val="32"/>
          <w:szCs w:val="32"/>
        </w:rPr>
      </w:pPr>
    </w:p>
    <w:p w:rsidR="0009251A" w:rsidRDefault="0009251A" w:rsidP="0009251A">
      <w:pPr>
        <w:jc w:val="center"/>
        <w:rPr>
          <w:rFonts w:ascii="Arial" w:hAnsi="Arial" w:cs="Arial"/>
          <w:sz w:val="32"/>
          <w:szCs w:val="32"/>
        </w:rPr>
      </w:pPr>
    </w:p>
    <w:p w:rsidR="0009251A" w:rsidRDefault="0009251A" w:rsidP="001326C0">
      <w:pPr>
        <w:rPr>
          <w:rFonts w:ascii="Arial" w:hAnsi="Arial" w:cs="Arial"/>
          <w:sz w:val="32"/>
          <w:szCs w:val="32"/>
        </w:rPr>
      </w:pPr>
    </w:p>
    <w:p w:rsidR="0009251A" w:rsidRDefault="0009251A" w:rsidP="0009251A">
      <w:pPr>
        <w:jc w:val="center"/>
        <w:rPr>
          <w:rFonts w:ascii="Arial" w:hAnsi="Arial" w:cs="Arial"/>
          <w:sz w:val="32"/>
          <w:szCs w:val="32"/>
        </w:rPr>
      </w:pPr>
    </w:p>
    <w:p w:rsidR="0009251A" w:rsidRDefault="0009251A" w:rsidP="0009251A">
      <w:pPr>
        <w:jc w:val="both"/>
        <w:rPr>
          <w:rFonts w:ascii="Arial" w:hAnsi="Arial" w:cs="Arial"/>
          <w:sz w:val="32"/>
          <w:szCs w:val="32"/>
        </w:rPr>
      </w:pPr>
      <w:r>
        <w:rPr>
          <w:rFonts w:ascii="Arial" w:hAnsi="Arial" w:cs="Arial"/>
          <w:noProof/>
          <w:sz w:val="32"/>
          <w:szCs w:val="32"/>
          <w:lang w:val="en-US"/>
        </w:rPr>
        <w:drawing>
          <wp:inline distT="0" distB="0" distL="0" distR="0">
            <wp:extent cx="1143000" cy="361950"/>
            <wp:effectExtent l="19050" t="0" r="0" b="0"/>
            <wp:docPr id="1" name="Picture 0" descr="C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 Logo.jpg"/>
                    <pic:cNvPicPr/>
                  </pic:nvPicPr>
                  <pic:blipFill>
                    <a:blip r:embed="rId8" cstate="print"/>
                    <a:stretch>
                      <a:fillRect/>
                    </a:stretch>
                  </pic:blipFill>
                  <pic:spPr>
                    <a:xfrm>
                      <a:off x="0" y="0"/>
                      <a:ext cx="1143000" cy="361950"/>
                    </a:xfrm>
                    <a:prstGeom prst="rect">
                      <a:avLst/>
                    </a:prstGeom>
                  </pic:spPr>
                </pic:pic>
              </a:graphicData>
            </a:graphic>
          </wp:inline>
        </w:drawing>
      </w:r>
      <w:r w:rsidR="0008102C">
        <w:rPr>
          <w:rFonts w:ascii="Arial" w:hAnsi="Arial" w:cs="Arial"/>
          <w:sz w:val="32"/>
          <w:szCs w:val="32"/>
        </w:rPr>
        <w:tab/>
      </w:r>
      <w:r w:rsidR="0008102C">
        <w:rPr>
          <w:rFonts w:ascii="Arial" w:hAnsi="Arial" w:cs="Arial"/>
          <w:sz w:val="32"/>
          <w:szCs w:val="32"/>
        </w:rPr>
        <w:tab/>
      </w:r>
      <w:r w:rsidR="0008102C">
        <w:rPr>
          <w:rFonts w:ascii="Arial" w:hAnsi="Arial" w:cs="Arial"/>
          <w:sz w:val="32"/>
          <w:szCs w:val="32"/>
        </w:rPr>
        <w:tab/>
      </w:r>
      <w:r w:rsidR="0008102C">
        <w:rPr>
          <w:rFonts w:ascii="Arial" w:hAnsi="Arial" w:cs="Arial"/>
          <w:sz w:val="32"/>
          <w:szCs w:val="32"/>
        </w:rPr>
        <w:tab/>
      </w:r>
      <w:r w:rsidR="0008102C">
        <w:rPr>
          <w:rFonts w:ascii="Arial" w:hAnsi="Arial" w:cs="Arial"/>
          <w:sz w:val="32"/>
          <w:szCs w:val="32"/>
        </w:rPr>
        <w:tab/>
      </w:r>
      <w:r w:rsidR="0008102C">
        <w:rPr>
          <w:rFonts w:ascii="Arial" w:hAnsi="Arial" w:cs="Arial"/>
          <w:sz w:val="32"/>
          <w:szCs w:val="32"/>
        </w:rPr>
        <w:tab/>
      </w:r>
      <w:r w:rsidR="0008102C">
        <w:rPr>
          <w:rFonts w:ascii="Arial" w:hAnsi="Arial" w:cs="Arial"/>
          <w:sz w:val="32"/>
          <w:szCs w:val="32"/>
        </w:rPr>
        <w:tab/>
      </w:r>
      <w:r w:rsidR="0008102C">
        <w:rPr>
          <w:noProof/>
          <w:lang w:val="en-US"/>
        </w:rPr>
        <w:drawing>
          <wp:inline distT="0" distB="0" distL="0" distR="0">
            <wp:extent cx="1488775" cy="685800"/>
            <wp:effectExtent l="19050" t="0" r="0" b="0"/>
            <wp:docPr id="2" name="Picture 1" descr="Saxe La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e Law logo small"/>
                    <pic:cNvPicPr>
                      <a:picLocks noChangeAspect="1" noChangeArrowheads="1"/>
                    </pic:cNvPicPr>
                  </pic:nvPicPr>
                  <pic:blipFill>
                    <a:blip r:embed="rId9"/>
                    <a:srcRect/>
                    <a:stretch>
                      <a:fillRect/>
                    </a:stretch>
                  </pic:blipFill>
                  <pic:spPr bwMode="auto">
                    <a:xfrm>
                      <a:off x="0" y="0"/>
                      <a:ext cx="1489075" cy="685938"/>
                    </a:xfrm>
                    <a:prstGeom prst="rect">
                      <a:avLst/>
                    </a:prstGeom>
                    <a:noFill/>
                    <a:ln w="9525">
                      <a:noFill/>
                      <a:miter lim="800000"/>
                      <a:headEnd/>
                      <a:tailEnd/>
                    </a:ln>
                  </pic:spPr>
                </pic:pic>
              </a:graphicData>
            </a:graphic>
          </wp:inline>
        </w:drawing>
      </w:r>
    </w:p>
    <w:p w:rsidR="0009251A" w:rsidRPr="0010423E" w:rsidRDefault="0008102C" w:rsidP="0009251A">
      <w:pPr>
        <w:jc w:val="both"/>
        <w:rPr>
          <w:rFonts w:ascii="Arial" w:hAnsi="Arial" w:cs="Arial"/>
          <w:sz w:val="28"/>
          <w:szCs w:val="28"/>
        </w:rPr>
      </w:pPr>
      <w:r>
        <w:rPr>
          <w:rFonts w:ascii="Arial" w:hAnsi="Arial" w:cs="Arial"/>
          <w:sz w:val="28"/>
          <w:szCs w:val="28"/>
        </w:rPr>
        <w:t xml:space="preserve">Graham </w:t>
      </w:r>
      <w:proofErr w:type="spellStart"/>
      <w:r>
        <w:rPr>
          <w:rFonts w:ascii="Arial" w:hAnsi="Arial" w:cs="Arial"/>
          <w:sz w:val="28"/>
          <w:szCs w:val="28"/>
        </w:rPr>
        <w:t>Rempe</w:t>
      </w:r>
      <w:proofErr w:type="spellEnd"/>
      <w:r>
        <w:rPr>
          <w:rFonts w:ascii="Arial" w:hAnsi="Arial" w:cs="Arial"/>
          <w:sz w:val="28"/>
          <w:szCs w:val="28"/>
        </w:rPr>
        <w:t>, Lawyer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09251A" w:rsidRPr="0010423E">
        <w:rPr>
          <w:rFonts w:ascii="Arial" w:hAnsi="Arial" w:cs="Arial"/>
          <w:sz w:val="28"/>
          <w:szCs w:val="28"/>
        </w:rPr>
        <w:t>Dian</w:t>
      </w:r>
      <w:r w:rsidR="003F6BD5" w:rsidRPr="0010423E">
        <w:rPr>
          <w:rFonts w:ascii="Arial" w:hAnsi="Arial" w:cs="Arial"/>
          <w:sz w:val="28"/>
          <w:szCs w:val="28"/>
        </w:rPr>
        <w:t>n</w:t>
      </w:r>
      <w:r>
        <w:rPr>
          <w:rFonts w:ascii="Arial" w:hAnsi="Arial" w:cs="Arial"/>
          <w:sz w:val="28"/>
          <w:szCs w:val="28"/>
        </w:rPr>
        <w:t>e Saxe, Lawyer</w:t>
      </w:r>
    </w:p>
    <w:p w:rsidR="0008102C" w:rsidRDefault="0009251A" w:rsidP="0008102C">
      <w:pPr>
        <w:pStyle w:val="HTMLAddress"/>
        <w:rPr>
          <w:rFonts w:ascii="Arial" w:hAnsi="Arial" w:cs="Arial"/>
          <w:bCs/>
          <w:i w:val="0"/>
          <w:sz w:val="28"/>
          <w:szCs w:val="28"/>
        </w:rPr>
      </w:pPr>
      <w:r w:rsidRPr="0008102C">
        <w:rPr>
          <w:rFonts w:ascii="Arial" w:hAnsi="Arial" w:cs="Arial"/>
          <w:i w:val="0"/>
          <w:sz w:val="28"/>
          <w:szCs w:val="28"/>
        </w:rPr>
        <w:t>City of Toronto, Legal Services</w:t>
      </w:r>
      <w:r w:rsidR="0008102C">
        <w:rPr>
          <w:rFonts w:ascii="Arial" w:hAnsi="Arial" w:cs="Arial"/>
          <w:sz w:val="28"/>
          <w:szCs w:val="28"/>
        </w:rPr>
        <w:tab/>
      </w:r>
      <w:r w:rsidR="0008102C">
        <w:rPr>
          <w:rFonts w:ascii="Arial" w:hAnsi="Arial" w:cs="Arial"/>
          <w:sz w:val="28"/>
          <w:szCs w:val="28"/>
        </w:rPr>
        <w:tab/>
      </w:r>
      <w:r w:rsidR="0008102C">
        <w:rPr>
          <w:rFonts w:ascii="Arial" w:hAnsi="Arial" w:cs="Arial"/>
          <w:sz w:val="28"/>
          <w:szCs w:val="28"/>
        </w:rPr>
        <w:tab/>
      </w:r>
      <w:r w:rsidR="0008102C">
        <w:rPr>
          <w:rFonts w:ascii="Arial" w:hAnsi="Arial" w:cs="Arial"/>
          <w:sz w:val="28"/>
          <w:szCs w:val="28"/>
        </w:rPr>
        <w:tab/>
      </w:r>
      <w:r w:rsidR="0008102C" w:rsidRPr="0008102C">
        <w:rPr>
          <w:rFonts w:ascii="Arial" w:hAnsi="Arial" w:cs="Arial"/>
          <w:bCs/>
          <w:i w:val="0"/>
          <w:sz w:val="28"/>
          <w:szCs w:val="28"/>
        </w:rPr>
        <w:t>Saxe Law Office</w:t>
      </w:r>
    </w:p>
    <w:p w:rsidR="001326C0" w:rsidRDefault="001326C0" w:rsidP="0008102C">
      <w:pPr>
        <w:pStyle w:val="HTMLAddress"/>
        <w:rPr>
          <w:rFonts w:ascii="Arial" w:hAnsi="Arial" w:cs="Arial"/>
          <w:bCs/>
          <w:i w:val="0"/>
          <w:sz w:val="28"/>
          <w:szCs w:val="28"/>
        </w:rPr>
      </w:pPr>
    </w:p>
    <w:p w:rsidR="001326C0" w:rsidRPr="001326C0" w:rsidRDefault="001326C0" w:rsidP="001326C0">
      <w:pPr>
        <w:pStyle w:val="HTMLAddress"/>
        <w:jc w:val="center"/>
        <w:rPr>
          <w:sz w:val="20"/>
          <w:szCs w:val="20"/>
        </w:rPr>
      </w:pPr>
      <w:r w:rsidRPr="001326C0">
        <w:rPr>
          <w:rFonts w:ascii="Arial" w:hAnsi="Arial" w:cs="Arial"/>
          <w:bCs/>
          <w:i w:val="0"/>
          <w:sz w:val="20"/>
          <w:szCs w:val="20"/>
        </w:rPr>
        <w:lastRenderedPageBreak/>
        <w:t>The opinion</w:t>
      </w:r>
      <w:r>
        <w:rPr>
          <w:rFonts w:ascii="Arial" w:hAnsi="Arial" w:cs="Arial"/>
          <w:bCs/>
          <w:i w:val="0"/>
          <w:sz w:val="20"/>
          <w:szCs w:val="20"/>
        </w:rPr>
        <w:t>s</w:t>
      </w:r>
      <w:r w:rsidRPr="001326C0">
        <w:rPr>
          <w:rFonts w:ascii="Arial" w:hAnsi="Arial" w:cs="Arial"/>
          <w:bCs/>
          <w:i w:val="0"/>
          <w:sz w:val="20"/>
          <w:szCs w:val="20"/>
        </w:rPr>
        <w:t xml:space="preserve"> expressed are those of the authors</w:t>
      </w:r>
    </w:p>
    <w:p w:rsidR="0009251A" w:rsidRDefault="0009251A" w:rsidP="0009251A">
      <w:pPr>
        <w:jc w:val="both"/>
        <w:rPr>
          <w:rFonts w:ascii="Times New Roman" w:hAnsi="Times New Roman" w:cs="Times New Roman"/>
          <w:sz w:val="24"/>
          <w:szCs w:val="24"/>
        </w:rPr>
      </w:pPr>
      <w:r>
        <w:rPr>
          <w:rFonts w:ascii="Times New Roman" w:hAnsi="Times New Roman" w:cs="Times New Roman"/>
          <w:sz w:val="24"/>
          <w:szCs w:val="24"/>
        </w:rPr>
        <w:t>Few topics evoke</w:t>
      </w:r>
      <w:r w:rsidR="005D7DE2">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5D7DE2">
        <w:rPr>
          <w:rFonts w:ascii="Times New Roman" w:hAnsi="Times New Roman" w:cs="Times New Roman"/>
          <w:sz w:val="24"/>
          <w:szCs w:val="24"/>
        </w:rPr>
        <w:t>concern</w:t>
      </w:r>
      <w:r w:rsidR="00A76AA0">
        <w:rPr>
          <w:rFonts w:ascii="Times New Roman" w:hAnsi="Times New Roman" w:cs="Times New Roman"/>
          <w:sz w:val="24"/>
          <w:szCs w:val="24"/>
        </w:rPr>
        <w:t xml:space="preserve"> about</w:t>
      </w:r>
      <w:r>
        <w:rPr>
          <w:rFonts w:ascii="Times New Roman" w:hAnsi="Times New Roman" w:cs="Times New Roman"/>
          <w:sz w:val="24"/>
          <w:szCs w:val="24"/>
        </w:rPr>
        <w:t xml:space="preserve"> "vast" liability </w:t>
      </w:r>
      <w:r w:rsidR="006F7AB7">
        <w:rPr>
          <w:rFonts w:ascii="Times New Roman" w:hAnsi="Times New Roman" w:cs="Times New Roman"/>
          <w:sz w:val="24"/>
          <w:szCs w:val="24"/>
        </w:rPr>
        <w:t>than</w:t>
      </w:r>
      <w:r>
        <w:rPr>
          <w:rFonts w:ascii="Times New Roman" w:hAnsi="Times New Roman" w:cs="Times New Roman"/>
          <w:sz w:val="24"/>
          <w:szCs w:val="24"/>
        </w:rPr>
        <w:t xml:space="preserve"> environmental mishaps. Municipalities and their legal advisors </w:t>
      </w:r>
      <w:r w:rsidR="00A76AA0">
        <w:rPr>
          <w:rFonts w:ascii="Times New Roman" w:hAnsi="Times New Roman" w:cs="Times New Roman"/>
          <w:sz w:val="24"/>
          <w:szCs w:val="24"/>
        </w:rPr>
        <w:t xml:space="preserve">are well advised </w:t>
      </w:r>
      <w:r>
        <w:rPr>
          <w:rFonts w:ascii="Times New Roman" w:hAnsi="Times New Roman" w:cs="Times New Roman"/>
          <w:sz w:val="24"/>
          <w:szCs w:val="24"/>
        </w:rPr>
        <w:t>to carefully monitor developments in this area</w:t>
      </w:r>
      <w:r w:rsidR="00A76AA0">
        <w:rPr>
          <w:rFonts w:ascii="Times New Roman" w:hAnsi="Times New Roman" w:cs="Times New Roman"/>
          <w:sz w:val="24"/>
          <w:szCs w:val="24"/>
        </w:rPr>
        <w:t>,</w:t>
      </w:r>
      <w:r>
        <w:rPr>
          <w:rFonts w:ascii="Times New Roman" w:hAnsi="Times New Roman" w:cs="Times New Roman"/>
          <w:sz w:val="24"/>
          <w:szCs w:val="24"/>
        </w:rPr>
        <w:t xml:space="preserve"> where liability is writ large. Memorable examples include </w:t>
      </w:r>
      <w:r w:rsidR="00A13C6C">
        <w:rPr>
          <w:rFonts w:ascii="Times New Roman" w:hAnsi="Times New Roman" w:cs="Times New Roman"/>
          <w:sz w:val="24"/>
          <w:szCs w:val="24"/>
        </w:rPr>
        <w:t xml:space="preserve">the Mississauga train derailment of 1979, the Walkerton tainted water scandal of May 11, 2000 and of course the horrific tragedy at </w:t>
      </w:r>
      <w:r w:rsidR="00A13C6C" w:rsidRPr="00A13C6C">
        <w:rPr>
          <w:rFonts w:ascii="Times New Roman" w:hAnsi="Times New Roman" w:cs="Times New Roman"/>
          <w:sz w:val="24"/>
          <w:szCs w:val="24"/>
        </w:rPr>
        <w:t>Lac-</w:t>
      </w:r>
      <w:proofErr w:type="spellStart"/>
      <w:r w:rsidR="00A13C6C" w:rsidRPr="00A13C6C">
        <w:rPr>
          <w:rFonts w:ascii="Times New Roman" w:hAnsi="Times New Roman" w:cs="Times New Roman"/>
          <w:sz w:val="24"/>
          <w:szCs w:val="24"/>
        </w:rPr>
        <w:t>Mégantic</w:t>
      </w:r>
      <w:proofErr w:type="spellEnd"/>
      <w:r w:rsidR="00A13C6C">
        <w:rPr>
          <w:rFonts w:ascii="Times New Roman" w:hAnsi="Times New Roman" w:cs="Times New Roman"/>
          <w:sz w:val="24"/>
          <w:szCs w:val="24"/>
        </w:rPr>
        <w:t xml:space="preserve">, Quebec on July 6, 2013. In the wake of events like these, </w:t>
      </w:r>
      <w:r w:rsidR="00A76AA0">
        <w:rPr>
          <w:rFonts w:ascii="Times New Roman" w:hAnsi="Times New Roman" w:cs="Times New Roman"/>
          <w:sz w:val="24"/>
          <w:szCs w:val="24"/>
        </w:rPr>
        <w:t xml:space="preserve">and </w:t>
      </w:r>
      <w:r w:rsidR="00A13C6C">
        <w:rPr>
          <w:rFonts w:ascii="Times New Roman" w:hAnsi="Times New Roman" w:cs="Times New Roman"/>
          <w:sz w:val="24"/>
          <w:szCs w:val="24"/>
        </w:rPr>
        <w:t>many, many similar, though less dramatic</w:t>
      </w:r>
      <w:r w:rsidR="00597D68">
        <w:rPr>
          <w:rFonts w:ascii="Times New Roman" w:hAnsi="Times New Roman" w:cs="Times New Roman"/>
          <w:sz w:val="24"/>
          <w:szCs w:val="24"/>
        </w:rPr>
        <w:t xml:space="preserve"> examples, municipalities and other government bodies may be exposed to both civil and regulatory liability. The related costs or damages can be extensive</w:t>
      </w:r>
      <w:r w:rsidR="005D7DE2">
        <w:rPr>
          <w:rFonts w:ascii="Times New Roman" w:hAnsi="Times New Roman" w:cs="Times New Roman"/>
          <w:sz w:val="24"/>
          <w:szCs w:val="24"/>
        </w:rPr>
        <w:t>,</w:t>
      </w:r>
      <w:r w:rsidR="00597D68">
        <w:rPr>
          <w:rFonts w:ascii="Times New Roman" w:hAnsi="Times New Roman" w:cs="Times New Roman"/>
          <w:sz w:val="24"/>
          <w:szCs w:val="24"/>
        </w:rPr>
        <w:t xml:space="preserve"> and expensive.</w:t>
      </w:r>
    </w:p>
    <w:p w:rsidR="00597D68" w:rsidRDefault="00597D68" w:rsidP="0009251A">
      <w:pPr>
        <w:jc w:val="both"/>
        <w:rPr>
          <w:rFonts w:ascii="Times New Roman" w:hAnsi="Times New Roman" w:cs="Times New Roman"/>
          <w:sz w:val="24"/>
          <w:szCs w:val="24"/>
        </w:rPr>
      </w:pPr>
    </w:p>
    <w:p w:rsidR="00597D68" w:rsidRDefault="00597D68" w:rsidP="0009251A">
      <w:pPr>
        <w:jc w:val="both"/>
        <w:rPr>
          <w:rFonts w:ascii="Times New Roman" w:hAnsi="Times New Roman" w:cs="Times New Roman"/>
          <w:sz w:val="24"/>
          <w:szCs w:val="24"/>
        </w:rPr>
      </w:pPr>
      <w:r>
        <w:rPr>
          <w:rFonts w:ascii="Times New Roman" w:hAnsi="Times New Roman" w:cs="Times New Roman"/>
          <w:sz w:val="24"/>
          <w:szCs w:val="24"/>
        </w:rPr>
        <w:t xml:space="preserve">The environmental panel at this presentation will cover </w:t>
      </w:r>
      <w:r w:rsidR="00A76AA0">
        <w:rPr>
          <w:rFonts w:ascii="Times New Roman" w:hAnsi="Times New Roman" w:cs="Times New Roman"/>
          <w:sz w:val="24"/>
          <w:szCs w:val="24"/>
        </w:rPr>
        <w:t>recent</w:t>
      </w:r>
      <w:r>
        <w:rPr>
          <w:rFonts w:ascii="Times New Roman" w:hAnsi="Times New Roman" w:cs="Times New Roman"/>
          <w:sz w:val="24"/>
          <w:szCs w:val="24"/>
        </w:rPr>
        <w:t xml:space="preserve"> developments that merit attention</w:t>
      </w:r>
      <w:r w:rsidR="00A76AA0">
        <w:rPr>
          <w:rFonts w:ascii="Times New Roman" w:hAnsi="Times New Roman" w:cs="Times New Roman"/>
          <w:sz w:val="24"/>
          <w:szCs w:val="24"/>
        </w:rPr>
        <w:t>, and offer comments on what they</w:t>
      </w:r>
      <w:r>
        <w:rPr>
          <w:rFonts w:ascii="Times New Roman" w:hAnsi="Times New Roman" w:cs="Times New Roman"/>
          <w:sz w:val="24"/>
          <w:szCs w:val="24"/>
        </w:rPr>
        <w:t xml:space="preserve"> may mean for your practice.</w:t>
      </w:r>
    </w:p>
    <w:p w:rsidR="00597D68" w:rsidRDefault="00597D68" w:rsidP="0009251A">
      <w:pPr>
        <w:jc w:val="both"/>
        <w:rPr>
          <w:rFonts w:ascii="Times New Roman" w:hAnsi="Times New Roman" w:cs="Times New Roman"/>
          <w:sz w:val="24"/>
          <w:szCs w:val="24"/>
        </w:rPr>
      </w:pPr>
    </w:p>
    <w:p w:rsidR="00597D68" w:rsidRPr="007735E3" w:rsidRDefault="00A76AA0" w:rsidP="0009251A">
      <w:pPr>
        <w:jc w:val="both"/>
        <w:rPr>
          <w:rFonts w:ascii="Times New Roman" w:hAnsi="Times New Roman" w:cs="Times New Roman"/>
          <w:b/>
          <w:i/>
          <w:sz w:val="24"/>
          <w:szCs w:val="24"/>
        </w:rPr>
      </w:pPr>
      <w:r w:rsidRPr="007735E3">
        <w:rPr>
          <w:rFonts w:ascii="Times New Roman" w:hAnsi="Times New Roman" w:cs="Times New Roman"/>
          <w:b/>
          <w:i/>
          <w:sz w:val="24"/>
          <w:szCs w:val="24"/>
        </w:rPr>
        <w:t xml:space="preserve">Liability for </w:t>
      </w:r>
      <w:r w:rsidR="00597D68" w:rsidRPr="007735E3">
        <w:rPr>
          <w:rFonts w:ascii="Times New Roman" w:hAnsi="Times New Roman" w:cs="Times New Roman"/>
          <w:b/>
          <w:i/>
          <w:sz w:val="24"/>
          <w:szCs w:val="24"/>
        </w:rPr>
        <w:t>Regulatory Orders</w:t>
      </w:r>
    </w:p>
    <w:p w:rsidR="00597D68" w:rsidRDefault="00597D68" w:rsidP="0009251A">
      <w:pPr>
        <w:jc w:val="both"/>
        <w:rPr>
          <w:rFonts w:ascii="Times New Roman" w:hAnsi="Times New Roman" w:cs="Times New Roman"/>
          <w:sz w:val="24"/>
          <w:szCs w:val="24"/>
        </w:rPr>
      </w:pPr>
    </w:p>
    <w:p w:rsidR="00597D68" w:rsidRDefault="00597D68" w:rsidP="0009251A">
      <w:pPr>
        <w:jc w:val="both"/>
        <w:rPr>
          <w:rFonts w:ascii="Times New Roman" w:hAnsi="Times New Roman" w:cs="Times New Roman"/>
          <w:sz w:val="24"/>
          <w:szCs w:val="24"/>
        </w:rPr>
      </w:pPr>
      <w:r>
        <w:rPr>
          <w:rFonts w:ascii="Times New Roman" w:hAnsi="Times New Roman" w:cs="Times New Roman"/>
          <w:sz w:val="24"/>
          <w:szCs w:val="24"/>
        </w:rPr>
        <w:t xml:space="preserve">There are a breathtaking number of regulatory order powers within Ontario's environmental legislation. These powers are broad and apply to a wide range of people and activities. For example, </w:t>
      </w:r>
      <w:r w:rsidR="00934323">
        <w:rPr>
          <w:rFonts w:ascii="Times New Roman" w:hAnsi="Times New Roman" w:cs="Times New Roman"/>
          <w:sz w:val="24"/>
          <w:szCs w:val="24"/>
        </w:rPr>
        <w:t>s.</w:t>
      </w:r>
      <w:r>
        <w:rPr>
          <w:rFonts w:ascii="Times New Roman" w:hAnsi="Times New Roman" w:cs="Times New Roman"/>
          <w:sz w:val="24"/>
          <w:szCs w:val="24"/>
        </w:rPr>
        <w:t xml:space="preserve"> 18 of Ontario's </w:t>
      </w:r>
      <w:r w:rsidRPr="00597D68">
        <w:rPr>
          <w:rFonts w:ascii="Times New Roman" w:hAnsi="Times New Roman" w:cs="Times New Roman"/>
          <w:i/>
          <w:sz w:val="24"/>
          <w:szCs w:val="24"/>
        </w:rPr>
        <w:t>Environmental Protection Act</w:t>
      </w:r>
      <w:r>
        <w:rPr>
          <w:rFonts w:ascii="Times New Roman" w:hAnsi="Times New Roman" w:cs="Times New Roman"/>
          <w:sz w:val="24"/>
          <w:szCs w:val="24"/>
        </w:rPr>
        <w:t xml:space="preserve"> ("EPA") applies to any person who "owns or owned or who has or had management or control of an undertaking or property". A wide range of potential </w:t>
      </w:r>
      <w:proofErr w:type="spellStart"/>
      <w:r>
        <w:rPr>
          <w:rFonts w:ascii="Times New Roman" w:hAnsi="Times New Roman" w:cs="Times New Roman"/>
          <w:sz w:val="24"/>
          <w:szCs w:val="24"/>
        </w:rPr>
        <w:t>ordere</w:t>
      </w:r>
      <w:r w:rsidR="005D7DE2">
        <w:rPr>
          <w:rFonts w:ascii="Times New Roman" w:hAnsi="Times New Roman" w:cs="Times New Roman"/>
          <w:sz w:val="24"/>
          <w:szCs w:val="24"/>
        </w:rPr>
        <w:t>es</w:t>
      </w:r>
      <w:proofErr w:type="spellEnd"/>
      <w:r w:rsidR="005D7DE2">
        <w:rPr>
          <w:rFonts w:ascii="Times New Roman" w:hAnsi="Times New Roman" w:cs="Times New Roman"/>
          <w:sz w:val="24"/>
          <w:szCs w:val="24"/>
        </w:rPr>
        <w:t xml:space="preserve"> indeed! </w:t>
      </w:r>
      <w:proofErr w:type="gramStart"/>
      <w:r w:rsidR="0010423E">
        <w:rPr>
          <w:rFonts w:ascii="Times New Roman" w:hAnsi="Times New Roman" w:cs="Times New Roman"/>
          <w:sz w:val="24"/>
          <w:szCs w:val="24"/>
        </w:rPr>
        <w:t>A</w:t>
      </w:r>
      <w:proofErr w:type="gramEnd"/>
      <w:r w:rsidR="0010423E">
        <w:rPr>
          <w:rFonts w:ascii="Times New Roman" w:hAnsi="Times New Roman" w:cs="Times New Roman"/>
          <w:sz w:val="24"/>
          <w:szCs w:val="24"/>
        </w:rPr>
        <w:t xml:space="preserve"> s. 18 o</w:t>
      </w:r>
      <w:r>
        <w:rPr>
          <w:rFonts w:ascii="Times New Roman" w:hAnsi="Times New Roman" w:cs="Times New Roman"/>
          <w:sz w:val="24"/>
          <w:szCs w:val="24"/>
        </w:rPr>
        <w:t xml:space="preserve">rder provides for a </w:t>
      </w:r>
      <w:r w:rsidR="001B2D8B">
        <w:rPr>
          <w:rFonts w:ascii="Times New Roman" w:hAnsi="Times New Roman" w:cs="Times New Roman"/>
          <w:sz w:val="24"/>
          <w:szCs w:val="24"/>
        </w:rPr>
        <w:t>number</w:t>
      </w:r>
      <w:r>
        <w:rPr>
          <w:rFonts w:ascii="Times New Roman" w:hAnsi="Times New Roman" w:cs="Times New Roman"/>
          <w:sz w:val="24"/>
          <w:szCs w:val="24"/>
        </w:rPr>
        <w:t xml:space="preserve"> of measures</w:t>
      </w:r>
      <w:r w:rsidR="00A76AA0">
        <w:rPr>
          <w:rFonts w:ascii="Times New Roman" w:hAnsi="Times New Roman" w:cs="Times New Roman"/>
          <w:sz w:val="24"/>
          <w:szCs w:val="24"/>
        </w:rPr>
        <w:t>,</w:t>
      </w:r>
      <w:r>
        <w:rPr>
          <w:rFonts w:ascii="Times New Roman" w:hAnsi="Times New Roman" w:cs="Times New Roman"/>
          <w:sz w:val="24"/>
          <w:szCs w:val="24"/>
        </w:rPr>
        <w:t xml:space="preserve"> from monitoring and reporting</w:t>
      </w:r>
      <w:r w:rsidR="00A76AA0">
        <w:rPr>
          <w:rFonts w:ascii="Times New Roman" w:hAnsi="Times New Roman" w:cs="Times New Roman"/>
          <w:sz w:val="24"/>
          <w:szCs w:val="24"/>
        </w:rPr>
        <w:t>,</w:t>
      </w:r>
      <w:r>
        <w:rPr>
          <w:rFonts w:ascii="Times New Roman" w:hAnsi="Times New Roman" w:cs="Times New Roman"/>
          <w:sz w:val="24"/>
          <w:szCs w:val="24"/>
        </w:rPr>
        <w:t xml:space="preserve"> to planning and implementing remediation. The only </w:t>
      </w:r>
      <w:r w:rsidR="005D7DE2">
        <w:rPr>
          <w:rFonts w:ascii="Times New Roman" w:hAnsi="Times New Roman" w:cs="Times New Roman"/>
          <w:sz w:val="24"/>
          <w:szCs w:val="24"/>
        </w:rPr>
        <w:t>precondition</w:t>
      </w:r>
      <w:r>
        <w:rPr>
          <w:rFonts w:ascii="Times New Roman" w:hAnsi="Times New Roman" w:cs="Times New Roman"/>
          <w:sz w:val="24"/>
          <w:szCs w:val="24"/>
        </w:rPr>
        <w:t xml:space="preserve"> is a reasonable belief that the ordered activities will prevent or reduce contamination of the natural environment.</w:t>
      </w:r>
    </w:p>
    <w:p w:rsidR="00597D68" w:rsidRDefault="00597D68" w:rsidP="0009251A">
      <w:pPr>
        <w:jc w:val="both"/>
        <w:rPr>
          <w:rFonts w:ascii="Times New Roman" w:hAnsi="Times New Roman" w:cs="Times New Roman"/>
          <w:sz w:val="24"/>
          <w:szCs w:val="24"/>
        </w:rPr>
      </w:pPr>
    </w:p>
    <w:p w:rsidR="00597D68" w:rsidRDefault="00597D68" w:rsidP="0009251A">
      <w:pPr>
        <w:jc w:val="both"/>
        <w:rPr>
          <w:rFonts w:ascii="Times New Roman" w:hAnsi="Times New Roman" w:cs="Times New Roman"/>
          <w:sz w:val="24"/>
          <w:szCs w:val="24"/>
        </w:rPr>
      </w:pPr>
      <w:r>
        <w:rPr>
          <w:rFonts w:ascii="Times New Roman" w:hAnsi="Times New Roman" w:cs="Times New Roman"/>
          <w:sz w:val="24"/>
          <w:szCs w:val="24"/>
        </w:rPr>
        <w:t xml:space="preserve">These orders can </w:t>
      </w:r>
      <w:r w:rsidR="0010423E">
        <w:rPr>
          <w:rFonts w:ascii="Times New Roman" w:hAnsi="Times New Roman" w:cs="Times New Roman"/>
          <w:sz w:val="24"/>
          <w:szCs w:val="24"/>
        </w:rPr>
        <w:t xml:space="preserve">be </w:t>
      </w:r>
      <w:r>
        <w:rPr>
          <w:rFonts w:ascii="Times New Roman" w:hAnsi="Times New Roman" w:cs="Times New Roman"/>
          <w:sz w:val="24"/>
          <w:szCs w:val="24"/>
        </w:rPr>
        <w:t>and are issued to municipalities. A few recent cases show how these orders are being applied</w:t>
      </w:r>
      <w:r w:rsidR="005D7DE2">
        <w:rPr>
          <w:rFonts w:ascii="Times New Roman" w:hAnsi="Times New Roman" w:cs="Times New Roman"/>
          <w:sz w:val="24"/>
          <w:szCs w:val="24"/>
        </w:rPr>
        <w:t>,</w:t>
      </w:r>
      <w:r>
        <w:rPr>
          <w:rFonts w:ascii="Times New Roman" w:hAnsi="Times New Roman" w:cs="Times New Roman"/>
          <w:sz w:val="24"/>
          <w:szCs w:val="24"/>
        </w:rPr>
        <w:t xml:space="preserve"> and the consequences for </w:t>
      </w:r>
      <w:proofErr w:type="spellStart"/>
      <w:r>
        <w:rPr>
          <w:rFonts w:ascii="Times New Roman" w:hAnsi="Times New Roman" w:cs="Times New Roman"/>
          <w:sz w:val="24"/>
          <w:szCs w:val="24"/>
        </w:rPr>
        <w:t>orderees</w:t>
      </w:r>
      <w:proofErr w:type="spellEnd"/>
      <w:r>
        <w:rPr>
          <w:rFonts w:ascii="Times New Roman" w:hAnsi="Times New Roman" w:cs="Times New Roman"/>
          <w:sz w:val="24"/>
          <w:szCs w:val="24"/>
        </w:rPr>
        <w:t>.</w:t>
      </w:r>
    </w:p>
    <w:p w:rsidR="00597D68" w:rsidRDefault="00597D68" w:rsidP="0009251A">
      <w:pPr>
        <w:jc w:val="both"/>
        <w:rPr>
          <w:rFonts w:ascii="Times New Roman" w:hAnsi="Times New Roman" w:cs="Times New Roman"/>
          <w:sz w:val="24"/>
          <w:szCs w:val="24"/>
        </w:rPr>
      </w:pPr>
    </w:p>
    <w:p w:rsidR="00597D68" w:rsidRDefault="00597D68" w:rsidP="0009251A">
      <w:pPr>
        <w:jc w:val="both"/>
        <w:rPr>
          <w:rFonts w:ascii="Times New Roman" w:hAnsi="Times New Roman" w:cs="Times New Roman"/>
          <w:sz w:val="24"/>
          <w:szCs w:val="24"/>
        </w:rPr>
      </w:pPr>
      <w:r>
        <w:rPr>
          <w:rFonts w:ascii="Times New Roman" w:hAnsi="Times New Roman" w:cs="Times New Roman"/>
          <w:sz w:val="24"/>
          <w:szCs w:val="24"/>
        </w:rPr>
        <w:t xml:space="preserve">In the case </w:t>
      </w:r>
      <w:r w:rsidRPr="00597D68">
        <w:rPr>
          <w:rFonts w:ascii="Times New Roman" w:hAnsi="Times New Roman" w:cs="Times New Roman"/>
          <w:i/>
          <w:sz w:val="24"/>
          <w:szCs w:val="24"/>
        </w:rPr>
        <w:t>of Kawa</w:t>
      </w:r>
      <w:r w:rsidR="003F6BD5">
        <w:rPr>
          <w:rFonts w:ascii="Times New Roman" w:hAnsi="Times New Roman" w:cs="Times New Roman"/>
          <w:i/>
          <w:sz w:val="24"/>
          <w:szCs w:val="24"/>
        </w:rPr>
        <w:t>rth</w:t>
      </w:r>
      <w:r w:rsidRPr="00597D68">
        <w:rPr>
          <w:rFonts w:ascii="Times New Roman" w:hAnsi="Times New Roman" w:cs="Times New Roman"/>
          <w:i/>
          <w:sz w:val="24"/>
          <w:szCs w:val="24"/>
        </w:rPr>
        <w:t>a Lakes (City) v. Ontario (MOE)</w:t>
      </w:r>
      <w:r w:rsidR="00FA50C7">
        <w:rPr>
          <w:rFonts w:ascii="Times New Roman" w:hAnsi="Times New Roman" w:cs="Times New Roman"/>
          <w:i/>
          <w:sz w:val="24"/>
          <w:szCs w:val="24"/>
        </w:rPr>
        <w:t>,</w:t>
      </w:r>
      <w:r w:rsidRPr="00597D68">
        <w:rPr>
          <w:rStyle w:val="FootnoteReference"/>
          <w:rFonts w:ascii="Times New Roman" w:hAnsi="Times New Roman" w:cs="Times New Roman"/>
          <w:sz w:val="24"/>
          <w:szCs w:val="24"/>
        </w:rPr>
        <w:footnoteReference w:id="1"/>
      </w:r>
      <w:r w:rsidR="00FA50C7">
        <w:rPr>
          <w:rFonts w:ascii="Times New Roman" w:hAnsi="Times New Roman" w:cs="Times New Roman"/>
          <w:sz w:val="24"/>
          <w:szCs w:val="24"/>
        </w:rPr>
        <w:t xml:space="preserve"> </w:t>
      </w:r>
      <w:r>
        <w:rPr>
          <w:rFonts w:ascii="Times New Roman" w:hAnsi="Times New Roman" w:cs="Times New Roman"/>
          <w:sz w:val="24"/>
          <w:szCs w:val="24"/>
        </w:rPr>
        <w:t>the Court of Appeal upheld an order against an innocent municipality whose property</w:t>
      </w:r>
      <w:r w:rsidR="005D7DE2">
        <w:rPr>
          <w:rFonts w:ascii="Times New Roman" w:hAnsi="Times New Roman" w:cs="Times New Roman"/>
          <w:sz w:val="24"/>
          <w:szCs w:val="24"/>
        </w:rPr>
        <w:t xml:space="preserve"> was contaminated by</w:t>
      </w:r>
      <w:r>
        <w:rPr>
          <w:rFonts w:ascii="Times New Roman" w:hAnsi="Times New Roman" w:cs="Times New Roman"/>
          <w:sz w:val="24"/>
          <w:szCs w:val="24"/>
        </w:rPr>
        <w:t xml:space="preserve"> spilled fuel oil</w:t>
      </w:r>
      <w:r w:rsidR="00A76AA0">
        <w:rPr>
          <w:rFonts w:ascii="Times New Roman" w:hAnsi="Times New Roman" w:cs="Times New Roman"/>
          <w:sz w:val="24"/>
          <w:szCs w:val="24"/>
        </w:rPr>
        <w:t xml:space="preserve"> </w:t>
      </w:r>
      <w:r w:rsidR="005D7DE2">
        <w:rPr>
          <w:rFonts w:ascii="Times New Roman" w:hAnsi="Times New Roman" w:cs="Times New Roman"/>
          <w:sz w:val="24"/>
          <w:szCs w:val="24"/>
        </w:rPr>
        <w:t xml:space="preserve">that </w:t>
      </w:r>
      <w:r w:rsidR="00A76AA0">
        <w:rPr>
          <w:rFonts w:ascii="Times New Roman" w:hAnsi="Times New Roman" w:cs="Times New Roman"/>
          <w:sz w:val="24"/>
          <w:szCs w:val="24"/>
        </w:rPr>
        <w:t>migrated</w:t>
      </w:r>
      <w:r w:rsidR="005D7DE2">
        <w:rPr>
          <w:rFonts w:ascii="Times New Roman" w:hAnsi="Times New Roman" w:cs="Times New Roman"/>
          <w:sz w:val="24"/>
          <w:szCs w:val="24"/>
        </w:rPr>
        <w:t xml:space="preserve"> from the property</w:t>
      </w:r>
      <w:r w:rsidR="0010423E">
        <w:rPr>
          <w:rFonts w:ascii="Times New Roman" w:hAnsi="Times New Roman" w:cs="Times New Roman"/>
          <w:sz w:val="24"/>
          <w:szCs w:val="24"/>
        </w:rPr>
        <w:t xml:space="preserve"> next door.</w:t>
      </w:r>
      <w:r>
        <w:rPr>
          <w:rFonts w:ascii="Times New Roman" w:hAnsi="Times New Roman" w:cs="Times New Roman"/>
          <w:sz w:val="24"/>
          <w:szCs w:val="24"/>
        </w:rPr>
        <w:t xml:space="preserve"> The spill was as a result of a discharge of heating fuel in a private residence. The spilled oil moved offsite, onto </w:t>
      </w:r>
      <w:r w:rsidR="00A76AA0">
        <w:rPr>
          <w:rFonts w:ascii="Times New Roman" w:hAnsi="Times New Roman" w:cs="Times New Roman"/>
          <w:sz w:val="24"/>
          <w:szCs w:val="24"/>
        </w:rPr>
        <w:t xml:space="preserve">the </w:t>
      </w:r>
      <w:r>
        <w:rPr>
          <w:rFonts w:ascii="Times New Roman" w:hAnsi="Times New Roman" w:cs="Times New Roman"/>
          <w:sz w:val="24"/>
          <w:szCs w:val="24"/>
        </w:rPr>
        <w:t xml:space="preserve">neighbouring municipal property, and into Sturgeon Lake. The Ministry of the Environment ("MOE") had issued an order against </w:t>
      </w:r>
      <w:r w:rsidR="003F6BD5">
        <w:rPr>
          <w:rFonts w:ascii="Times New Roman" w:hAnsi="Times New Roman" w:cs="Times New Roman"/>
          <w:sz w:val="24"/>
          <w:szCs w:val="24"/>
        </w:rPr>
        <w:t xml:space="preserve">the homeowner, who was </w:t>
      </w:r>
      <w:r w:rsidR="00A76AA0">
        <w:rPr>
          <w:rFonts w:ascii="Times New Roman" w:hAnsi="Times New Roman" w:cs="Times New Roman"/>
          <w:sz w:val="24"/>
          <w:szCs w:val="24"/>
        </w:rPr>
        <w:t>taking steps through his insurer to</w:t>
      </w:r>
      <w:r w:rsidR="003F6BD5">
        <w:rPr>
          <w:rFonts w:ascii="Times New Roman" w:hAnsi="Times New Roman" w:cs="Times New Roman"/>
          <w:sz w:val="24"/>
          <w:szCs w:val="24"/>
        </w:rPr>
        <w:t xml:space="preserve"> clean</w:t>
      </w:r>
      <w:r w:rsidR="00A76AA0">
        <w:rPr>
          <w:rFonts w:ascii="Times New Roman" w:hAnsi="Times New Roman" w:cs="Times New Roman"/>
          <w:sz w:val="24"/>
          <w:szCs w:val="24"/>
        </w:rPr>
        <w:t xml:space="preserve"> </w:t>
      </w:r>
      <w:r w:rsidR="003F6BD5">
        <w:rPr>
          <w:rFonts w:ascii="Times New Roman" w:hAnsi="Times New Roman" w:cs="Times New Roman"/>
          <w:sz w:val="24"/>
          <w:szCs w:val="24"/>
        </w:rPr>
        <w:t>up. The clean</w:t>
      </w:r>
      <w:r w:rsidR="00A76AA0">
        <w:rPr>
          <w:rFonts w:ascii="Times New Roman" w:hAnsi="Times New Roman" w:cs="Times New Roman"/>
          <w:sz w:val="24"/>
          <w:szCs w:val="24"/>
        </w:rPr>
        <w:t xml:space="preserve"> </w:t>
      </w:r>
      <w:r w:rsidR="003F6BD5">
        <w:rPr>
          <w:rFonts w:ascii="Times New Roman" w:hAnsi="Times New Roman" w:cs="Times New Roman"/>
          <w:sz w:val="24"/>
          <w:szCs w:val="24"/>
        </w:rPr>
        <w:t>up stopped</w:t>
      </w:r>
      <w:r w:rsidR="00A76AA0">
        <w:rPr>
          <w:rFonts w:ascii="Times New Roman" w:hAnsi="Times New Roman" w:cs="Times New Roman"/>
          <w:sz w:val="24"/>
          <w:szCs w:val="24"/>
        </w:rPr>
        <w:t>,</w:t>
      </w:r>
      <w:r w:rsidR="003F6BD5">
        <w:rPr>
          <w:rFonts w:ascii="Times New Roman" w:hAnsi="Times New Roman" w:cs="Times New Roman"/>
          <w:sz w:val="24"/>
          <w:szCs w:val="24"/>
        </w:rPr>
        <w:t xml:space="preserve"> though, when the insurance funds ran out.</w:t>
      </w:r>
      <w:r w:rsidR="00C001F3">
        <w:rPr>
          <w:rStyle w:val="FootnoteReference"/>
          <w:rFonts w:ascii="Times New Roman" w:hAnsi="Times New Roman" w:cs="Times New Roman"/>
          <w:sz w:val="24"/>
          <w:szCs w:val="24"/>
        </w:rPr>
        <w:footnoteReference w:id="2"/>
      </w:r>
      <w:r w:rsidR="00C001F3">
        <w:rPr>
          <w:rFonts w:ascii="Times New Roman" w:hAnsi="Times New Roman" w:cs="Times New Roman"/>
          <w:sz w:val="24"/>
          <w:szCs w:val="24"/>
        </w:rPr>
        <w:t xml:space="preserve"> </w:t>
      </w:r>
      <w:r w:rsidR="003F6BD5">
        <w:rPr>
          <w:rFonts w:ascii="Times New Roman" w:hAnsi="Times New Roman" w:cs="Times New Roman"/>
          <w:sz w:val="24"/>
          <w:szCs w:val="24"/>
        </w:rPr>
        <w:t xml:space="preserve">The MOE's Provincial Officer then issued an order against Kawartha Lakes under </w:t>
      </w:r>
      <w:r w:rsidR="00934323">
        <w:rPr>
          <w:rFonts w:ascii="Times New Roman" w:hAnsi="Times New Roman" w:cs="Times New Roman"/>
          <w:sz w:val="24"/>
          <w:szCs w:val="24"/>
        </w:rPr>
        <w:t>s.</w:t>
      </w:r>
      <w:r w:rsidR="003F6BD5">
        <w:rPr>
          <w:rFonts w:ascii="Times New Roman" w:hAnsi="Times New Roman" w:cs="Times New Roman"/>
          <w:sz w:val="24"/>
          <w:szCs w:val="24"/>
        </w:rPr>
        <w:t xml:space="preserve"> 157.1 of the EPA (which has similar language to that of </w:t>
      </w:r>
      <w:r w:rsidR="00934323">
        <w:rPr>
          <w:rFonts w:ascii="Times New Roman" w:hAnsi="Times New Roman" w:cs="Times New Roman"/>
          <w:sz w:val="24"/>
          <w:szCs w:val="24"/>
        </w:rPr>
        <w:t>s.</w:t>
      </w:r>
      <w:r w:rsidR="003F6BD5">
        <w:rPr>
          <w:rFonts w:ascii="Times New Roman" w:hAnsi="Times New Roman" w:cs="Times New Roman"/>
          <w:sz w:val="24"/>
          <w:szCs w:val="24"/>
        </w:rPr>
        <w:t xml:space="preserve"> 18 above)</w:t>
      </w:r>
      <w:r w:rsidR="005D7DE2">
        <w:rPr>
          <w:rFonts w:ascii="Times New Roman" w:hAnsi="Times New Roman" w:cs="Times New Roman"/>
          <w:sz w:val="24"/>
          <w:szCs w:val="24"/>
        </w:rPr>
        <w:t xml:space="preserve"> to prevent further contamination of Sturgeon Lake</w:t>
      </w:r>
      <w:r w:rsidR="003F6BD5">
        <w:rPr>
          <w:rFonts w:ascii="Times New Roman" w:hAnsi="Times New Roman" w:cs="Times New Roman"/>
          <w:sz w:val="24"/>
          <w:szCs w:val="24"/>
        </w:rPr>
        <w:t>.</w:t>
      </w:r>
    </w:p>
    <w:p w:rsidR="003F6BD5" w:rsidRDefault="003F6BD5" w:rsidP="0009251A">
      <w:pPr>
        <w:jc w:val="both"/>
        <w:rPr>
          <w:rFonts w:ascii="Times New Roman" w:hAnsi="Times New Roman" w:cs="Times New Roman"/>
          <w:sz w:val="24"/>
          <w:szCs w:val="24"/>
        </w:rPr>
      </w:pPr>
    </w:p>
    <w:p w:rsidR="003F6BD5" w:rsidRDefault="003F6BD5" w:rsidP="0009251A">
      <w:pPr>
        <w:jc w:val="both"/>
        <w:rPr>
          <w:rFonts w:ascii="Times New Roman" w:hAnsi="Times New Roman" w:cs="Times New Roman"/>
          <w:sz w:val="24"/>
          <w:szCs w:val="24"/>
        </w:rPr>
      </w:pPr>
      <w:r>
        <w:rPr>
          <w:rFonts w:ascii="Times New Roman" w:hAnsi="Times New Roman" w:cs="Times New Roman"/>
          <w:sz w:val="24"/>
          <w:szCs w:val="24"/>
        </w:rPr>
        <w:t>The municipality appealed the order to the MOE Director, then the Environmental Review Tribunal, the Divisional Court, and the Court of Appeal, and lost at every step.</w:t>
      </w:r>
    </w:p>
    <w:p w:rsidR="003F6BD5" w:rsidRDefault="003F6BD5" w:rsidP="0009251A">
      <w:pPr>
        <w:jc w:val="both"/>
        <w:rPr>
          <w:rFonts w:ascii="Times New Roman" w:hAnsi="Times New Roman" w:cs="Times New Roman"/>
          <w:sz w:val="24"/>
          <w:szCs w:val="24"/>
        </w:rPr>
      </w:pPr>
    </w:p>
    <w:p w:rsidR="003F6BD5" w:rsidRDefault="003F6BD5" w:rsidP="0009251A">
      <w:pPr>
        <w:jc w:val="both"/>
        <w:rPr>
          <w:rFonts w:ascii="Times New Roman" w:hAnsi="Times New Roman" w:cs="Times New Roman"/>
          <w:sz w:val="24"/>
          <w:szCs w:val="24"/>
        </w:rPr>
      </w:pPr>
      <w:r>
        <w:rPr>
          <w:rFonts w:ascii="Times New Roman" w:hAnsi="Times New Roman" w:cs="Times New Roman"/>
          <w:sz w:val="24"/>
          <w:szCs w:val="24"/>
        </w:rPr>
        <w:t>The undisputed fact was that Kawartha Lake</w:t>
      </w:r>
      <w:r w:rsidR="00A76AA0">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completely innocent of any wrongdoing</w:t>
      </w:r>
      <w:r w:rsidR="004A0012">
        <w:rPr>
          <w:rFonts w:ascii="Times New Roman" w:hAnsi="Times New Roman" w:cs="Times New Roman"/>
          <w:sz w:val="24"/>
          <w:szCs w:val="24"/>
        </w:rPr>
        <w:t>, unlike others that the MOE could have chosen</w:t>
      </w:r>
      <w:r w:rsidR="00A76AA0">
        <w:rPr>
          <w:rFonts w:ascii="Times New Roman" w:hAnsi="Times New Roman" w:cs="Times New Roman"/>
          <w:sz w:val="24"/>
          <w:szCs w:val="24"/>
        </w:rPr>
        <w:t>.</w:t>
      </w:r>
      <w:r w:rsidR="004A0012">
        <w:rPr>
          <w:rFonts w:ascii="Times New Roman" w:hAnsi="Times New Roman" w:cs="Times New Roman"/>
          <w:sz w:val="24"/>
          <w:szCs w:val="24"/>
        </w:rPr>
        <w:t xml:space="preserve"> It was equally clear that the MOE could have forced Kawartha Lakes to clean up the spill in two ways. One type of order gave the city a clear </w:t>
      </w:r>
      <w:r w:rsidR="004A0012">
        <w:rPr>
          <w:rFonts w:ascii="Times New Roman" w:hAnsi="Times New Roman" w:cs="Times New Roman"/>
          <w:sz w:val="24"/>
          <w:szCs w:val="24"/>
        </w:rPr>
        <w:lastRenderedPageBreak/>
        <w:t>right to compensation from the province; the one that the MOE chose did not. Kawartha Lakes</w:t>
      </w:r>
      <w:r>
        <w:rPr>
          <w:rFonts w:ascii="Times New Roman" w:hAnsi="Times New Roman" w:cs="Times New Roman"/>
          <w:sz w:val="24"/>
          <w:szCs w:val="24"/>
        </w:rPr>
        <w:t xml:space="preserve"> argued that basic fairness should pre</w:t>
      </w:r>
      <w:r w:rsidR="00A76AA0">
        <w:rPr>
          <w:rFonts w:ascii="Times New Roman" w:hAnsi="Times New Roman" w:cs="Times New Roman"/>
          <w:sz w:val="24"/>
          <w:szCs w:val="24"/>
        </w:rPr>
        <w:t>clude such an order against the municipality</w:t>
      </w:r>
      <w:r>
        <w:rPr>
          <w:rFonts w:ascii="Times New Roman" w:hAnsi="Times New Roman" w:cs="Times New Roman"/>
          <w:sz w:val="24"/>
          <w:szCs w:val="24"/>
        </w:rPr>
        <w:t xml:space="preserve">, following earlier </w:t>
      </w:r>
      <w:proofErr w:type="spellStart"/>
      <w:r>
        <w:rPr>
          <w:rFonts w:ascii="Times New Roman" w:hAnsi="Times New Roman" w:cs="Times New Roman"/>
          <w:sz w:val="24"/>
          <w:szCs w:val="24"/>
        </w:rPr>
        <w:t>caselaw</w:t>
      </w:r>
      <w:proofErr w:type="spellEnd"/>
      <w:r>
        <w:rPr>
          <w:rFonts w:ascii="Times New Roman" w:hAnsi="Times New Roman" w:cs="Times New Roman"/>
          <w:sz w:val="24"/>
          <w:szCs w:val="24"/>
        </w:rPr>
        <w:t xml:space="preserve"> which established fairness as a consideration</w:t>
      </w:r>
      <w:r w:rsidR="00C92270">
        <w:rPr>
          <w:rFonts w:ascii="Times New Roman" w:hAnsi="Times New Roman" w:cs="Times New Roman"/>
          <w:sz w:val="24"/>
          <w:szCs w:val="24"/>
        </w:rPr>
        <w:t>.</w:t>
      </w:r>
    </w:p>
    <w:p w:rsidR="003F6BD5" w:rsidRDefault="003F6BD5" w:rsidP="0009251A">
      <w:pPr>
        <w:jc w:val="both"/>
        <w:rPr>
          <w:rFonts w:ascii="Times New Roman" w:hAnsi="Times New Roman" w:cs="Times New Roman"/>
          <w:sz w:val="24"/>
          <w:szCs w:val="24"/>
        </w:rPr>
      </w:pPr>
    </w:p>
    <w:p w:rsidR="003F6BD5" w:rsidRDefault="003F6BD5" w:rsidP="0009251A">
      <w:pPr>
        <w:jc w:val="both"/>
        <w:rPr>
          <w:rFonts w:ascii="Times New Roman" w:hAnsi="Times New Roman" w:cs="Times New Roman"/>
          <w:sz w:val="24"/>
          <w:szCs w:val="24"/>
        </w:rPr>
      </w:pPr>
      <w:r>
        <w:rPr>
          <w:rFonts w:ascii="Times New Roman" w:hAnsi="Times New Roman" w:cs="Times New Roman"/>
          <w:sz w:val="24"/>
          <w:szCs w:val="24"/>
        </w:rPr>
        <w:t>The issue was whether</w:t>
      </w:r>
      <w:r w:rsidR="00A76AA0">
        <w:rPr>
          <w:rFonts w:ascii="Times New Roman" w:hAnsi="Times New Roman" w:cs="Times New Roman"/>
          <w:sz w:val="24"/>
          <w:szCs w:val="24"/>
        </w:rPr>
        <w:t>,</w:t>
      </w:r>
      <w:r>
        <w:rPr>
          <w:rFonts w:ascii="Times New Roman" w:hAnsi="Times New Roman" w:cs="Times New Roman"/>
          <w:sz w:val="24"/>
          <w:szCs w:val="24"/>
        </w:rPr>
        <w:t xml:space="preserve"> in appealing the order, Kawartha Lakes could lead evidence to prove that it was not at fault, as</w:t>
      </w:r>
      <w:r w:rsidR="0010423E">
        <w:rPr>
          <w:rFonts w:ascii="Times New Roman" w:hAnsi="Times New Roman" w:cs="Times New Roman"/>
          <w:sz w:val="24"/>
          <w:szCs w:val="24"/>
        </w:rPr>
        <w:t xml:space="preserve"> it alleged</w:t>
      </w:r>
      <w:r>
        <w:rPr>
          <w:rFonts w:ascii="Times New Roman" w:hAnsi="Times New Roman" w:cs="Times New Roman"/>
          <w:sz w:val="24"/>
          <w:szCs w:val="24"/>
        </w:rPr>
        <w:t xml:space="preserve"> others were (</w:t>
      </w:r>
      <w:r w:rsidR="00A76AA0">
        <w:rPr>
          <w:rFonts w:ascii="Times New Roman" w:hAnsi="Times New Roman" w:cs="Times New Roman"/>
          <w:sz w:val="24"/>
          <w:szCs w:val="24"/>
        </w:rPr>
        <w:t xml:space="preserve">the </w:t>
      </w:r>
      <w:r>
        <w:rPr>
          <w:rFonts w:ascii="Times New Roman" w:hAnsi="Times New Roman" w:cs="Times New Roman"/>
          <w:sz w:val="24"/>
          <w:szCs w:val="24"/>
        </w:rPr>
        <w:t>homeowner, the fuel company, the remediation contractor, etc.). The ERT and the courts concluded that this was not relevant. The paramount concern for the Tribunal</w:t>
      </w:r>
      <w:r w:rsidR="006C0F4F">
        <w:rPr>
          <w:rFonts w:ascii="Times New Roman" w:hAnsi="Times New Roman" w:cs="Times New Roman"/>
          <w:sz w:val="24"/>
          <w:szCs w:val="24"/>
        </w:rPr>
        <w:t>, and the courts,</w:t>
      </w:r>
      <w:r>
        <w:rPr>
          <w:rFonts w:ascii="Times New Roman" w:hAnsi="Times New Roman" w:cs="Times New Roman"/>
          <w:sz w:val="24"/>
          <w:szCs w:val="24"/>
        </w:rPr>
        <w:t xml:space="preserve"> was whether the protection of the environment required the order,</w:t>
      </w:r>
      <w:r w:rsidR="006C0F4F">
        <w:rPr>
          <w:rFonts w:ascii="Times New Roman" w:hAnsi="Times New Roman" w:cs="Times New Roman"/>
          <w:sz w:val="24"/>
          <w:szCs w:val="24"/>
        </w:rPr>
        <w:t xml:space="preserve"> (by which they seemed to mean the cleanup)</w:t>
      </w:r>
      <w:r>
        <w:rPr>
          <w:rFonts w:ascii="Times New Roman" w:hAnsi="Times New Roman" w:cs="Times New Roman"/>
          <w:sz w:val="24"/>
          <w:szCs w:val="24"/>
        </w:rPr>
        <w:t xml:space="preserve"> not whether it was fair</w:t>
      </w:r>
      <w:r w:rsidR="005D7DE2">
        <w:rPr>
          <w:rFonts w:ascii="Times New Roman" w:hAnsi="Times New Roman" w:cs="Times New Roman"/>
          <w:sz w:val="24"/>
          <w:szCs w:val="24"/>
        </w:rPr>
        <w:t xml:space="preserve"> to the </w:t>
      </w:r>
      <w:proofErr w:type="spellStart"/>
      <w:r w:rsidR="005D7DE2">
        <w:rPr>
          <w:rFonts w:ascii="Times New Roman" w:hAnsi="Times New Roman" w:cs="Times New Roman"/>
          <w:sz w:val="24"/>
          <w:szCs w:val="24"/>
        </w:rPr>
        <w:t>orderee</w:t>
      </w:r>
      <w:proofErr w:type="spellEnd"/>
      <w:r>
        <w:rPr>
          <w:rFonts w:ascii="Times New Roman" w:hAnsi="Times New Roman" w:cs="Times New Roman"/>
          <w:sz w:val="24"/>
          <w:szCs w:val="24"/>
        </w:rPr>
        <w:t>.</w:t>
      </w:r>
    </w:p>
    <w:p w:rsidR="003F6BD5" w:rsidRDefault="003F6BD5" w:rsidP="0009251A">
      <w:pPr>
        <w:jc w:val="both"/>
        <w:rPr>
          <w:rFonts w:ascii="Times New Roman" w:hAnsi="Times New Roman" w:cs="Times New Roman"/>
          <w:sz w:val="24"/>
          <w:szCs w:val="24"/>
        </w:rPr>
      </w:pPr>
    </w:p>
    <w:p w:rsidR="003F6BD5" w:rsidRDefault="003F6BD5" w:rsidP="0009251A">
      <w:pPr>
        <w:jc w:val="both"/>
        <w:rPr>
          <w:rFonts w:ascii="Times New Roman" w:hAnsi="Times New Roman" w:cs="Times New Roman"/>
          <w:sz w:val="24"/>
          <w:szCs w:val="24"/>
        </w:rPr>
      </w:pPr>
      <w:r>
        <w:rPr>
          <w:rFonts w:ascii="Times New Roman" w:hAnsi="Times New Roman" w:cs="Times New Roman"/>
          <w:sz w:val="24"/>
          <w:szCs w:val="24"/>
        </w:rPr>
        <w:t xml:space="preserve">So the </w:t>
      </w:r>
      <w:r w:rsidR="004A0012">
        <w:rPr>
          <w:rFonts w:ascii="Times New Roman" w:hAnsi="Times New Roman" w:cs="Times New Roman"/>
          <w:sz w:val="24"/>
          <w:szCs w:val="24"/>
        </w:rPr>
        <w:t xml:space="preserve">court set aside the </w:t>
      </w:r>
      <w:r>
        <w:rPr>
          <w:rFonts w:ascii="Times New Roman" w:hAnsi="Times New Roman" w:cs="Times New Roman"/>
          <w:sz w:val="24"/>
          <w:szCs w:val="24"/>
        </w:rPr>
        <w:t>principle</w:t>
      </w:r>
      <w:r w:rsidR="004A0012">
        <w:rPr>
          <w:rFonts w:ascii="Times New Roman" w:hAnsi="Times New Roman" w:cs="Times New Roman"/>
          <w:sz w:val="24"/>
          <w:szCs w:val="24"/>
        </w:rPr>
        <w:t>s</w:t>
      </w:r>
      <w:r>
        <w:rPr>
          <w:rFonts w:ascii="Times New Roman" w:hAnsi="Times New Roman" w:cs="Times New Roman"/>
          <w:sz w:val="24"/>
          <w:szCs w:val="24"/>
        </w:rPr>
        <w:t xml:space="preserve"> of "fairness" and </w:t>
      </w:r>
      <w:r w:rsidR="004A0012">
        <w:rPr>
          <w:rFonts w:ascii="Times New Roman" w:hAnsi="Times New Roman" w:cs="Times New Roman"/>
          <w:sz w:val="24"/>
          <w:szCs w:val="24"/>
        </w:rPr>
        <w:t>of</w:t>
      </w:r>
      <w:r w:rsidR="00FA50C7">
        <w:rPr>
          <w:rFonts w:ascii="Times New Roman" w:hAnsi="Times New Roman" w:cs="Times New Roman"/>
          <w:sz w:val="24"/>
          <w:szCs w:val="24"/>
        </w:rPr>
        <w:t xml:space="preserve"> </w:t>
      </w:r>
      <w:r>
        <w:rPr>
          <w:rFonts w:ascii="Times New Roman" w:hAnsi="Times New Roman" w:cs="Times New Roman"/>
          <w:sz w:val="24"/>
          <w:szCs w:val="24"/>
        </w:rPr>
        <w:t>"polluter pays"</w:t>
      </w:r>
      <w:r w:rsidR="006C0F4F">
        <w:rPr>
          <w:rFonts w:ascii="Times New Roman" w:hAnsi="Times New Roman" w:cs="Times New Roman"/>
          <w:sz w:val="24"/>
          <w:szCs w:val="24"/>
        </w:rPr>
        <w:t>, leaving</w:t>
      </w:r>
      <w:r>
        <w:rPr>
          <w:rFonts w:ascii="Times New Roman" w:hAnsi="Times New Roman" w:cs="Times New Roman"/>
          <w:sz w:val="24"/>
          <w:szCs w:val="24"/>
        </w:rPr>
        <w:t xml:space="preserve"> Kawartha Lakes </w:t>
      </w:r>
      <w:r w:rsidR="006C0F4F">
        <w:rPr>
          <w:rFonts w:ascii="Times New Roman" w:hAnsi="Times New Roman" w:cs="Times New Roman"/>
          <w:sz w:val="24"/>
          <w:szCs w:val="24"/>
        </w:rPr>
        <w:t>to seek compensation</w:t>
      </w:r>
      <w:r>
        <w:rPr>
          <w:rFonts w:ascii="Times New Roman" w:hAnsi="Times New Roman" w:cs="Times New Roman"/>
          <w:sz w:val="24"/>
          <w:szCs w:val="24"/>
        </w:rPr>
        <w:t xml:space="preserve"> in civil court</w:t>
      </w:r>
      <w:r w:rsidR="006C0F4F">
        <w:rPr>
          <w:rFonts w:ascii="Times New Roman" w:hAnsi="Times New Roman" w:cs="Times New Roman"/>
          <w:sz w:val="24"/>
          <w:szCs w:val="24"/>
        </w:rPr>
        <w:t xml:space="preserve"> from</w:t>
      </w:r>
      <w:r w:rsidR="00A76AA0">
        <w:rPr>
          <w:rFonts w:ascii="Times New Roman" w:hAnsi="Times New Roman" w:cs="Times New Roman"/>
          <w:sz w:val="24"/>
          <w:szCs w:val="24"/>
        </w:rPr>
        <w:t xml:space="preserve"> everyone else</w:t>
      </w:r>
      <w:r>
        <w:rPr>
          <w:rFonts w:ascii="Times New Roman" w:hAnsi="Times New Roman" w:cs="Times New Roman"/>
          <w:sz w:val="24"/>
          <w:szCs w:val="24"/>
        </w:rPr>
        <w:t xml:space="preserve"> associated with the incident</w:t>
      </w:r>
      <w:r w:rsidR="006C0F4F">
        <w:rPr>
          <w:rFonts w:ascii="Times New Roman" w:hAnsi="Times New Roman" w:cs="Times New Roman"/>
          <w:sz w:val="24"/>
          <w:szCs w:val="24"/>
        </w:rPr>
        <w:t>.</w:t>
      </w:r>
    </w:p>
    <w:p w:rsidR="00D87DE3" w:rsidRDefault="00D87DE3" w:rsidP="0009251A">
      <w:pPr>
        <w:jc w:val="both"/>
        <w:rPr>
          <w:rFonts w:ascii="Times New Roman" w:hAnsi="Times New Roman" w:cs="Times New Roman"/>
          <w:sz w:val="24"/>
          <w:szCs w:val="24"/>
        </w:rPr>
      </w:pPr>
    </w:p>
    <w:p w:rsidR="00D87DE3" w:rsidRDefault="00D87DE3" w:rsidP="0009251A">
      <w:pPr>
        <w:jc w:val="both"/>
        <w:rPr>
          <w:rFonts w:ascii="Times New Roman" w:hAnsi="Times New Roman" w:cs="Times New Roman"/>
          <w:sz w:val="24"/>
          <w:szCs w:val="24"/>
        </w:rPr>
      </w:pPr>
      <w:r>
        <w:rPr>
          <w:rFonts w:ascii="Times New Roman" w:hAnsi="Times New Roman" w:cs="Times New Roman"/>
          <w:sz w:val="24"/>
          <w:szCs w:val="24"/>
        </w:rPr>
        <w:t xml:space="preserve">Another regulatory liability case that is raising eyebrows among environmental lawyers is </w:t>
      </w:r>
      <w:r w:rsidRPr="00D87DE3">
        <w:rPr>
          <w:rFonts w:ascii="Times New Roman" w:hAnsi="Times New Roman" w:cs="Times New Roman"/>
          <w:i/>
          <w:sz w:val="24"/>
          <w:szCs w:val="24"/>
        </w:rPr>
        <w:t>Baker v. MOE</w:t>
      </w:r>
      <w:r w:rsidR="00FA50C7">
        <w:rPr>
          <w:rFonts w:ascii="Times New Roman" w:hAnsi="Times New Roman" w:cs="Times New Roman"/>
          <w:i/>
          <w:sz w:val="24"/>
          <w:szCs w:val="24"/>
        </w:rPr>
        <w:t>.</w:t>
      </w:r>
      <w:r>
        <w:rPr>
          <w:rStyle w:val="FootnoteReference"/>
          <w:rFonts w:ascii="Times New Roman" w:hAnsi="Times New Roman" w:cs="Times New Roman"/>
          <w:sz w:val="24"/>
          <w:szCs w:val="24"/>
        </w:rPr>
        <w:footnoteReference w:id="3"/>
      </w:r>
    </w:p>
    <w:p w:rsidR="00D87DE3" w:rsidRDefault="00D87DE3" w:rsidP="0009251A">
      <w:pPr>
        <w:jc w:val="both"/>
        <w:rPr>
          <w:rFonts w:ascii="Times New Roman" w:hAnsi="Times New Roman" w:cs="Times New Roman"/>
          <w:sz w:val="24"/>
          <w:szCs w:val="24"/>
        </w:rPr>
      </w:pPr>
    </w:p>
    <w:p w:rsidR="00721F04" w:rsidRDefault="00D87DE3" w:rsidP="0009251A">
      <w:pPr>
        <w:jc w:val="both"/>
        <w:rPr>
          <w:rStyle w:val="Emphasis"/>
          <w:rFonts w:ascii="Times New Roman" w:hAnsi="Times New Roman" w:cs="Times New Roman"/>
          <w:b w:val="0"/>
          <w:color w:val="222222"/>
          <w:sz w:val="24"/>
          <w:szCs w:val="24"/>
        </w:rPr>
      </w:pPr>
      <w:r>
        <w:rPr>
          <w:rFonts w:ascii="Times New Roman" w:hAnsi="Times New Roman" w:cs="Times New Roman"/>
          <w:sz w:val="24"/>
          <w:szCs w:val="24"/>
        </w:rPr>
        <w:t xml:space="preserve">In that case, </w:t>
      </w:r>
      <w:proofErr w:type="spellStart"/>
      <w:r>
        <w:rPr>
          <w:rFonts w:ascii="Times New Roman" w:hAnsi="Times New Roman" w:cs="Times New Roman"/>
          <w:sz w:val="24"/>
          <w:szCs w:val="24"/>
        </w:rPr>
        <w:t>Northstar</w:t>
      </w:r>
      <w:proofErr w:type="spellEnd"/>
      <w:r>
        <w:rPr>
          <w:rFonts w:ascii="Times New Roman" w:hAnsi="Times New Roman" w:cs="Times New Roman"/>
          <w:sz w:val="24"/>
          <w:szCs w:val="24"/>
        </w:rPr>
        <w:t xml:space="preserve"> Aerospace </w:t>
      </w:r>
      <w:r w:rsidR="006C0F4F">
        <w:rPr>
          <w:rFonts w:ascii="Times New Roman" w:hAnsi="Times New Roman" w:cs="Times New Roman"/>
          <w:sz w:val="24"/>
          <w:szCs w:val="24"/>
        </w:rPr>
        <w:t xml:space="preserve">(Canada) </w:t>
      </w:r>
      <w:r>
        <w:rPr>
          <w:rFonts w:ascii="Times New Roman" w:hAnsi="Times New Roman" w:cs="Times New Roman"/>
          <w:sz w:val="24"/>
          <w:szCs w:val="24"/>
        </w:rPr>
        <w:t xml:space="preserve">had </w:t>
      </w:r>
      <w:r w:rsidR="006C0F4F">
        <w:rPr>
          <w:rFonts w:ascii="Times New Roman" w:hAnsi="Times New Roman" w:cs="Times New Roman"/>
          <w:sz w:val="24"/>
          <w:szCs w:val="24"/>
        </w:rPr>
        <w:t xml:space="preserve">bought a </w:t>
      </w:r>
      <w:r>
        <w:rPr>
          <w:rFonts w:ascii="Times New Roman" w:hAnsi="Times New Roman" w:cs="Times New Roman"/>
          <w:sz w:val="24"/>
          <w:szCs w:val="24"/>
        </w:rPr>
        <w:t xml:space="preserve">manufacturing plant </w:t>
      </w:r>
      <w:r w:rsidR="006C0F4F">
        <w:rPr>
          <w:rFonts w:ascii="Times New Roman" w:hAnsi="Times New Roman" w:cs="Times New Roman"/>
          <w:sz w:val="24"/>
          <w:szCs w:val="24"/>
        </w:rPr>
        <w:t xml:space="preserve">in 1985, without knowing that its soil and groundwater were contaminated </w:t>
      </w:r>
      <w:r>
        <w:rPr>
          <w:rFonts w:ascii="Times New Roman" w:hAnsi="Times New Roman" w:cs="Times New Roman"/>
          <w:sz w:val="24"/>
          <w:szCs w:val="24"/>
        </w:rPr>
        <w:t>with tric</w:t>
      </w:r>
      <w:r w:rsidR="00266C46">
        <w:rPr>
          <w:rFonts w:ascii="Times New Roman" w:hAnsi="Times New Roman" w:cs="Times New Roman"/>
          <w:sz w:val="24"/>
          <w:szCs w:val="24"/>
        </w:rPr>
        <w:t>h</w:t>
      </w:r>
      <w:r>
        <w:rPr>
          <w:rFonts w:ascii="Times New Roman" w:hAnsi="Times New Roman" w:cs="Times New Roman"/>
          <w:sz w:val="24"/>
          <w:szCs w:val="24"/>
        </w:rPr>
        <w:t xml:space="preserve">loroethylene </w:t>
      </w:r>
      <w:r w:rsidR="00D27C17">
        <w:rPr>
          <w:rFonts w:ascii="Times New Roman" w:hAnsi="Times New Roman" w:cs="Times New Roman"/>
          <w:sz w:val="24"/>
          <w:szCs w:val="24"/>
        </w:rPr>
        <w:t xml:space="preserve">("TCE") </w:t>
      </w:r>
      <w:r>
        <w:rPr>
          <w:rFonts w:ascii="Times New Roman" w:hAnsi="Times New Roman" w:cs="Times New Roman"/>
          <w:sz w:val="24"/>
          <w:szCs w:val="24"/>
        </w:rPr>
        <w:t xml:space="preserve">and </w:t>
      </w:r>
      <w:r w:rsidR="004E3819">
        <w:rPr>
          <w:rStyle w:val="Emphasis"/>
          <w:rFonts w:ascii="Times New Roman" w:hAnsi="Times New Roman" w:cs="Times New Roman"/>
          <w:b w:val="0"/>
          <w:color w:val="222222"/>
          <w:sz w:val="24"/>
          <w:szCs w:val="24"/>
        </w:rPr>
        <w:t>h</w:t>
      </w:r>
      <w:r w:rsidR="004E3819" w:rsidRPr="004E3819">
        <w:rPr>
          <w:rStyle w:val="Emphasis"/>
          <w:rFonts w:ascii="Times New Roman" w:hAnsi="Times New Roman" w:cs="Times New Roman"/>
          <w:b w:val="0"/>
          <w:color w:val="222222"/>
          <w:sz w:val="24"/>
          <w:szCs w:val="24"/>
        </w:rPr>
        <w:t>exavalent chromium</w:t>
      </w:r>
      <w:r w:rsidR="00D27C17">
        <w:rPr>
          <w:rStyle w:val="Emphasis"/>
          <w:rFonts w:ascii="Times New Roman" w:hAnsi="Times New Roman" w:cs="Times New Roman"/>
          <w:b w:val="0"/>
          <w:color w:val="222222"/>
          <w:sz w:val="24"/>
          <w:szCs w:val="24"/>
        </w:rPr>
        <w:t xml:space="preserve">, </w:t>
      </w:r>
      <w:r w:rsidR="004E3819">
        <w:rPr>
          <w:rStyle w:val="Emphasis"/>
          <w:rFonts w:ascii="Times New Roman" w:hAnsi="Times New Roman" w:cs="Times New Roman"/>
          <w:b w:val="0"/>
          <w:color w:val="222222"/>
          <w:sz w:val="24"/>
          <w:szCs w:val="24"/>
        </w:rPr>
        <w:t xml:space="preserve">both of which </w:t>
      </w:r>
      <w:r w:rsidR="005D7DE2">
        <w:rPr>
          <w:rStyle w:val="Emphasis"/>
          <w:rFonts w:ascii="Times New Roman" w:hAnsi="Times New Roman" w:cs="Times New Roman"/>
          <w:b w:val="0"/>
          <w:color w:val="222222"/>
          <w:sz w:val="24"/>
          <w:szCs w:val="24"/>
        </w:rPr>
        <w:t xml:space="preserve">are </w:t>
      </w:r>
      <w:r w:rsidR="00A76AA0">
        <w:rPr>
          <w:rStyle w:val="Emphasis"/>
          <w:rFonts w:ascii="Times New Roman" w:hAnsi="Times New Roman" w:cs="Times New Roman"/>
          <w:b w:val="0"/>
          <w:color w:val="222222"/>
          <w:sz w:val="24"/>
          <w:szCs w:val="24"/>
        </w:rPr>
        <w:t xml:space="preserve">known </w:t>
      </w:r>
      <w:r w:rsidR="004E3819">
        <w:rPr>
          <w:rStyle w:val="Emphasis"/>
          <w:rFonts w:ascii="Times New Roman" w:hAnsi="Times New Roman" w:cs="Times New Roman"/>
          <w:b w:val="0"/>
          <w:color w:val="222222"/>
          <w:sz w:val="24"/>
          <w:szCs w:val="24"/>
        </w:rPr>
        <w:t xml:space="preserve">carcinogens. </w:t>
      </w:r>
      <w:proofErr w:type="spellStart"/>
      <w:r w:rsidR="004E3819">
        <w:rPr>
          <w:rStyle w:val="Emphasis"/>
          <w:rFonts w:ascii="Times New Roman" w:hAnsi="Times New Roman" w:cs="Times New Roman"/>
          <w:b w:val="0"/>
          <w:color w:val="222222"/>
          <w:sz w:val="24"/>
          <w:szCs w:val="24"/>
        </w:rPr>
        <w:t>Northstar</w:t>
      </w:r>
      <w:proofErr w:type="spellEnd"/>
      <w:r w:rsidR="003F6CA0">
        <w:rPr>
          <w:rStyle w:val="Emphasis"/>
          <w:rFonts w:ascii="Times New Roman" w:hAnsi="Times New Roman" w:cs="Times New Roman"/>
          <w:b w:val="0"/>
          <w:color w:val="222222"/>
          <w:sz w:val="24"/>
          <w:szCs w:val="24"/>
        </w:rPr>
        <w:t xml:space="preserve"> Canada</w:t>
      </w:r>
      <w:r w:rsidR="004E3819">
        <w:rPr>
          <w:rStyle w:val="Emphasis"/>
          <w:rFonts w:ascii="Times New Roman" w:hAnsi="Times New Roman" w:cs="Times New Roman"/>
          <w:b w:val="0"/>
          <w:color w:val="222222"/>
          <w:sz w:val="24"/>
          <w:szCs w:val="24"/>
        </w:rPr>
        <w:t xml:space="preserve"> </w:t>
      </w:r>
      <w:r w:rsidR="003F6CA0">
        <w:rPr>
          <w:rStyle w:val="Emphasis"/>
          <w:rFonts w:ascii="Times New Roman" w:hAnsi="Times New Roman" w:cs="Times New Roman"/>
          <w:b w:val="0"/>
          <w:color w:val="222222"/>
          <w:sz w:val="24"/>
          <w:szCs w:val="24"/>
        </w:rPr>
        <w:t xml:space="preserve">discovered the contamination in late 2004, and </w:t>
      </w:r>
      <w:r w:rsidR="004E3819">
        <w:rPr>
          <w:rStyle w:val="Emphasis"/>
          <w:rFonts w:ascii="Times New Roman" w:hAnsi="Times New Roman" w:cs="Times New Roman"/>
          <w:b w:val="0"/>
          <w:color w:val="222222"/>
          <w:sz w:val="24"/>
          <w:szCs w:val="24"/>
        </w:rPr>
        <w:t xml:space="preserve">started remediating voluntarily in 2005. </w:t>
      </w:r>
      <w:r w:rsidR="003F6CA0">
        <w:rPr>
          <w:rStyle w:val="Emphasis"/>
          <w:rFonts w:ascii="Times New Roman" w:hAnsi="Times New Roman" w:cs="Times New Roman"/>
          <w:b w:val="0"/>
          <w:color w:val="222222"/>
          <w:sz w:val="24"/>
          <w:szCs w:val="24"/>
        </w:rPr>
        <w:t xml:space="preserve">Throughout the </w:t>
      </w:r>
      <w:r w:rsidR="009C2366">
        <w:rPr>
          <w:rStyle w:val="Emphasis"/>
          <w:rFonts w:ascii="Times New Roman" w:hAnsi="Times New Roman" w:cs="Times New Roman"/>
          <w:b w:val="0"/>
          <w:color w:val="222222"/>
          <w:sz w:val="24"/>
          <w:szCs w:val="24"/>
        </w:rPr>
        <w:t xml:space="preserve">$20 million </w:t>
      </w:r>
      <w:r w:rsidR="003F6CA0">
        <w:rPr>
          <w:rStyle w:val="Emphasis"/>
          <w:rFonts w:ascii="Times New Roman" w:hAnsi="Times New Roman" w:cs="Times New Roman"/>
          <w:b w:val="0"/>
          <w:color w:val="222222"/>
          <w:sz w:val="24"/>
          <w:szCs w:val="24"/>
        </w:rPr>
        <w:t xml:space="preserve">cleanup, </w:t>
      </w:r>
      <w:r w:rsidR="004E3819">
        <w:rPr>
          <w:rStyle w:val="Emphasis"/>
          <w:rFonts w:ascii="Times New Roman" w:hAnsi="Times New Roman" w:cs="Times New Roman"/>
          <w:b w:val="0"/>
          <w:color w:val="222222"/>
          <w:sz w:val="24"/>
          <w:szCs w:val="24"/>
        </w:rPr>
        <w:t xml:space="preserve">the company was in </w:t>
      </w:r>
      <w:r w:rsidR="00457373">
        <w:rPr>
          <w:rStyle w:val="Emphasis"/>
          <w:rFonts w:ascii="Times New Roman" w:hAnsi="Times New Roman" w:cs="Times New Roman"/>
          <w:b w:val="0"/>
          <w:color w:val="222222"/>
          <w:sz w:val="24"/>
          <w:szCs w:val="24"/>
        </w:rPr>
        <w:t xml:space="preserve">great </w:t>
      </w:r>
      <w:r w:rsidR="004E3819">
        <w:rPr>
          <w:rStyle w:val="Emphasis"/>
          <w:rFonts w:ascii="Times New Roman" w:hAnsi="Times New Roman" w:cs="Times New Roman"/>
          <w:b w:val="0"/>
          <w:color w:val="222222"/>
          <w:sz w:val="24"/>
          <w:szCs w:val="24"/>
        </w:rPr>
        <w:t>financial difficulty</w:t>
      </w:r>
      <w:r w:rsidR="00C84D0F">
        <w:rPr>
          <w:rStyle w:val="Emphasis"/>
          <w:rFonts w:ascii="Times New Roman" w:hAnsi="Times New Roman" w:cs="Times New Roman"/>
          <w:b w:val="0"/>
          <w:color w:val="222222"/>
          <w:sz w:val="24"/>
          <w:szCs w:val="24"/>
        </w:rPr>
        <w:t>, and the MOE decided not to require financial assurance</w:t>
      </w:r>
      <w:r w:rsidR="003F6CA0">
        <w:rPr>
          <w:rStyle w:val="Emphasis"/>
          <w:rFonts w:ascii="Times New Roman" w:hAnsi="Times New Roman" w:cs="Times New Roman"/>
          <w:b w:val="0"/>
          <w:color w:val="222222"/>
          <w:sz w:val="24"/>
          <w:szCs w:val="24"/>
        </w:rPr>
        <w:t>.</w:t>
      </w:r>
      <w:r w:rsidR="00A76AA0">
        <w:rPr>
          <w:rStyle w:val="Emphasis"/>
          <w:rFonts w:ascii="Times New Roman" w:hAnsi="Times New Roman" w:cs="Times New Roman"/>
          <w:b w:val="0"/>
          <w:color w:val="222222"/>
          <w:sz w:val="24"/>
          <w:szCs w:val="24"/>
        </w:rPr>
        <w:t xml:space="preserve"> </w:t>
      </w:r>
      <w:r w:rsidR="003F6CA0">
        <w:rPr>
          <w:rStyle w:val="Emphasis"/>
          <w:rFonts w:ascii="Times New Roman" w:hAnsi="Times New Roman" w:cs="Times New Roman"/>
          <w:b w:val="0"/>
          <w:color w:val="222222"/>
          <w:sz w:val="24"/>
          <w:szCs w:val="24"/>
        </w:rPr>
        <w:t>I</w:t>
      </w:r>
      <w:r w:rsidR="00A76AA0">
        <w:rPr>
          <w:rStyle w:val="Emphasis"/>
          <w:rFonts w:ascii="Times New Roman" w:hAnsi="Times New Roman" w:cs="Times New Roman"/>
          <w:b w:val="0"/>
          <w:color w:val="222222"/>
          <w:sz w:val="24"/>
          <w:szCs w:val="24"/>
        </w:rPr>
        <w:t>n 2012</w:t>
      </w:r>
      <w:r w:rsidR="004E3819">
        <w:rPr>
          <w:rStyle w:val="Emphasis"/>
          <w:rFonts w:ascii="Times New Roman" w:hAnsi="Times New Roman" w:cs="Times New Roman"/>
          <w:b w:val="0"/>
          <w:color w:val="222222"/>
          <w:sz w:val="24"/>
          <w:szCs w:val="24"/>
        </w:rPr>
        <w:t>,</w:t>
      </w:r>
      <w:r w:rsidR="003F6CA0">
        <w:rPr>
          <w:rStyle w:val="Emphasis"/>
          <w:rFonts w:ascii="Times New Roman" w:hAnsi="Times New Roman" w:cs="Times New Roman"/>
          <w:b w:val="0"/>
          <w:color w:val="222222"/>
          <w:sz w:val="24"/>
          <w:szCs w:val="24"/>
        </w:rPr>
        <w:t xml:space="preserve"> as it teetered on the edge of bankruptcy,</w:t>
      </w:r>
      <w:r w:rsidR="009C2366">
        <w:rPr>
          <w:rStyle w:val="Emphasis"/>
          <w:rFonts w:ascii="Times New Roman" w:hAnsi="Times New Roman" w:cs="Times New Roman"/>
          <w:b w:val="0"/>
          <w:color w:val="222222"/>
          <w:sz w:val="24"/>
          <w:szCs w:val="24"/>
        </w:rPr>
        <w:t xml:space="preserve"> under the control of the secured creditors,</w:t>
      </w:r>
      <w:r w:rsidR="004E3819">
        <w:rPr>
          <w:rStyle w:val="Emphasis"/>
          <w:rFonts w:ascii="Times New Roman" w:hAnsi="Times New Roman" w:cs="Times New Roman"/>
          <w:b w:val="0"/>
          <w:color w:val="222222"/>
          <w:sz w:val="24"/>
          <w:szCs w:val="24"/>
        </w:rPr>
        <w:t xml:space="preserve"> the MOE issued orders requiring </w:t>
      </w:r>
      <w:r w:rsidR="003F6CA0">
        <w:rPr>
          <w:rStyle w:val="Emphasis"/>
          <w:rFonts w:ascii="Times New Roman" w:hAnsi="Times New Roman" w:cs="Times New Roman"/>
          <w:b w:val="0"/>
          <w:color w:val="222222"/>
          <w:sz w:val="24"/>
          <w:szCs w:val="24"/>
        </w:rPr>
        <w:t xml:space="preserve">both </w:t>
      </w:r>
      <w:proofErr w:type="spellStart"/>
      <w:r w:rsidR="003F6CA0">
        <w:rPr>
          <w:rStyle w:val="Emphasis"/>
          <w:rFonts w:ascii="Times New Roman" w:hAnsi="Times New Roman" w:cs="Times New Roman"/>
          <w:b w:val="0"/>
          <w:color w:val="222222"/>
          <w:sz w:val="24"/>
          <w:szCs w:val="24"/>
        </w:rPr>
        <w:t>Northstar</w:t>
      </w:r>
      <w:proofErr w:type="spellEnd"/>
      <w:r w:rsidR="003F6CA0">
        <w:rPr>
          <w:rStyle w:val="Emphasis"/>
          <w:rFonts w:ascii="Times New Roman" w:hAnsi="Times New Roman" w:cs="Times New Roman"/>
          <w:b w:val="0"/>
          <w:color w:val="222222"/>
          <w:sz w:val="24"/>
          <w:szCs w:val="24"/>
        </w:rPr>
        <w:t xml:space="preserve"> Canada and its US parent company to </w:t>
      </w:r>
      <w:r w:rsidR="00457373">
        <w:rPr>
          <w:rStyle w:val="Emphasis"/>
          <w:rFonts w:ascii="Times New Roman" w:hAnsi="Times New Roman" w:cs="Times New Roman"/>
          <w:b w:val="0"/>
          <w:color w:val="222222"/>
          <w:sz w:val="24"/>
          <w:szCs w:val="24"/>
        </w:rPr>
        <w:t>complete</w:t>
      </w:r>
      <w:r w:rsidR="003F6CA0">
        <w:rPr>
          <w:rStyle w:val="Emphasis"/>
          <w:rFonts w:ascii="Times New Roman" w:hAnsi="Times New Roman" w:cs="Times New Roman"/>
          <w:b w:val="0"/>
          <w:color w:val="222222"/>
          <w:sz w:val="24"/>
          <w:szCs w:val="24"/>
        </w:rPr>
        <w:t xml:space="preserve"> the </w:t>
      </w:r>
      <w:r w:rsidR="004E3819">
        <w:rPr>
          <w:rStyle w:val="Emphasis"/>
          <w:rFonts w:ascii="Times New Roman" w:hAnsi="Times New Roman" w:cs="Times New Roman"/>
          <w:b w:val="0"/>
          <w:color w:val="222222"/>
          <w:sz w:val="24"/>
          <w:szCs w:val="24"/>
        </w:rPr>
        <w:t xml:space="preserve">remediation and </w:t>
      </w:r>
      <w:r w:rsidR="009C2366">
        <w:rPr>
          <w:rStyle w:val="Emphasis"/>
          <w:rFonts w:ascii="Times New Roman" w:hAnsi="Times New Roman" w:cs="Times New Roman"/>
          <w:b w:val="0"/>
          <w:color w:val="222222"/>
          <w:sz w:val="24"/>
          <w:szCs w:val="24"/>
        </w:rPr>
        <w:t xml:space="preserve">to post cash </w:t>
      </w:r>
      <w:r w:rsidR="008D3DBF">
        <w:rPr>
          <w:rStyle w:val="Emphasis"/>
          <w:rFonts w:ascii="Times New Roman" w:hAnsi="Times New Roman" w:cs="Times New Roman"/>
          <w:b w:val="0"/>
          <w:color w:val="222222"/>
          <w:sz w:val="24"/>
          <w:szCs w:val="24"/>
        </w:rPr>
        <w:t>financial assurance of $10 m</w:t>
      </w:r>
      <w:r w:rsidR="004E3819">
        <w:rPr>
          <w:rStyle w:val="Emphasis"/>
          <w:rFonts w:ascii="Times New Roman" w:hAnsi="Times New Roman" w:cs="Times New Roman"/>
          <w:b w:val="0"/>
          <w:color w:val="222222"/>
          <w:sz w:val="24"/>
          <w:szCs w:val="24"/>
        </w:rPr>
        <w:t xml:space="preserve">illion. </w:t>
      </w:r>
      <w:r w:rsidR="009C2366">
        <w:rPr>
          <w:rStyle w:val="Emphasis"/>
          <w:rFonts w:ascii="Times New Roman" w:hAnsi="Times New Roman" w:cs="Times New Roman"/>
          <w:b w:val="0"/>
          <w:color w:val="222222"/>
          <w:sz w:val="24"/>
          <w:szCs w:val="24"/>
        </w:rPr>
        <w:t>The lenders refused to put up the cash, and both</w:t>
      </w:r>
      <w:r w:rsidR="004E3819">
        <w:rPr>
          <w:rStyle w:val="Emphasis"/>
          <w:rFonts w:ascii="Times New Roman" w:hAnsi="Times New Roman" w:cs="Times New Roman"/>
          <w:b w:val="0"/>
          <w:color w:val="222222"/>
          <w:sz w:val="24"/>
          <w:szCs w:val="24"/>
        </w:rPr>
        <w:t xml:space="preserve"> compan</w:t>
      </w:r>
      <w:r w:rsidR="009C2366">
        <w:rPr>
          <w:rStyle w:val="Emphasis"/>
          <w:rFonts w:ascii="Times New Roman" w:hAnsi="Times New Roman" w:cs="Times New Roman"/>
          <w:b w:val="0"/>
          <w:color w:val="222222"/>
          <w:sz w:val="24"/>
          <w:szCs w:val="24"/>
        </w:rPr>
        <w:t>ies</w:t>
      </w:r>
      <w:r w:rsidR="004E3819">
        <w:rPr>
          <w:rStyle w:val="Emphasis"/>
          <w:rFonts w:ascii="Times New Roman" w:hAnsi="Times New Roman" w:cs="Times New Roman"/>
          <w:b w:val="0"/>
          <w:color w:val="222222"/>
          <w:sz w:val="24"/>
          <w:szCs w:val="24"/>
        </w:rPr>
        <w:t xml:space="preserve"> </w:t>
      </w:r>
      <w:r w:rsidR="00457373">
        <w:rPr>
          <w:rStyle w:val="Emphasis"/>
          <w:rFonts w:ascii="Times New Roman" w:hAnsi="Times New Roman" w:cs="Times New Roman"/>
          <w:b w:val="0"/>
          <w:color w:val="222222"/>
          <w:sz w:val="24"/>
          <w:szCs w:val="24"/>
        </w:rPr>
        <w:t xml:space="preserve">immediately </w:t>
      </w:r>
      <w:r w:rsidR="004E3819">
        <w:rPr>
          <w:rStyle w:val="Emphasis"/>
          <w:rFonts w:ascii="Times New Roman" w:hAnsi="Times New Roman" w:cs="Times New Roman"/>
          <w:b w:val="0"/>
          <w:color w:val="222222"/>
          <w:sz w:val="24"/>
          <w:szCs w:val="24"/>
        </w:rPr>
        <w:t xml:space="preserve">sought and received protection under the </w:t>
      </w:r>
      <w:r w:rsidR="004E3819" w:rsidRPr="004E3819">
        <w:rPr>
          <w:rStyle w:val="Emphasis"/>
          <w:rFonts w:ascii="Times New Roman" w:hAnsi="Times New Roman" w:cs="Times New Roman"/>
          <w:b w:val="0"/>
          <w:i/>
          <w:color w:val="222222"/>
          <w:sz w:val="24"/>
          <w:szCs w:val="24"/>
        </w:rPr>
        <w:t xml:space="preserve">Companies Creditors' Arrangement Act. </w:t>
      </w:r>
      <w:r w:rsidR="004E3819">
        <w:rPr>
          <w:rStyle w:val="Emphasis"/>
          <w:rFonts w:ascii="Times New Roman" w:hAnsi="Times New Roman" w:cs="Times New Roman"/>
          <w:b w:val="0"/>
          <w:color w:val="222222"/>
          <w:sz w:val="24"/>
          <w:szCs w:val="24"/>
        </w:rPr>
        <w:t>MOE then took over the remediation effort</w:t>
      </w:r>
      <w:r w:rsidR="00721F04">
        <w:rPr>
          <w:rStyle w:val="Emphasis"/>
          <w:rFonts w:ascii="Times New Roman" w:hAnsi="Times New Roman" w:cs="Times New Roman"/>
          <w:b w:val="0"/>
          <w:color w:val="222222"/>
          <w:sz w:val="24"/>
          <w:szCs w:val="24"/>
        </w:rPr>
        <w:t xml:space="preserve">. </w:t>
      </w:r>
    </w:p>
    <w:p w:rsidR="00721F04" w:rsidRDefault="00721F04" w:rsidP="0009251A">
      <w:pPr>
        <w:jc w:val="both"/>
        <w:rPr>
          <w:rStyle w:val="Emphasis"/>
          <w:rFonts w:ascii="Times New Roman" w:hAnsi="Times New Roman" w:cs="Times New Roman"/>
          <w:b w:val="0"/>
          <w:color w:val="222222"/>
          <w:sz w:val="24"/>
          <w:szCs w:val="24"/>
        </w:rPr>
      </w:pPr>
    </w:p>
    <w:p w:rsidR="00C84D0F" w:rsidRDefault="00721F04"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After all corporate assets had been distributed to the secured creditors, over MOE objection, the MOE</w:t>
      </w:r>
      <w:r w:rsidR="004E3819">
        <w:rPr>
          <w:rStyle w:val="Emphasis"/>
          <w:rFonts w:ascii="Times New Roman" w:hAnsi="Times New Roman" w:cs="Times New Roman"/>
          <w:b w:val="0"/>
          <w:color w:val="222222"/>
          <w:sz w:val="24"/>
          <w:szCs w:val="24"/>
        </w:rPr>
        <w:t xml:space="preserve"> issued </w:t>
      </w:r>
      <w:r w:rsidR="004F0667">
        <w:rPr>
          <w:rStyle w:val="Emphasis"/>
          <w:rFonts w:ascii="Times New Roman" w:hAnsi="Times New Roman" w:cs="Times New Roman"/>
          <w:b w:val="0"/>
          <w:color w:val="222222"/>
          <w:sz w:val="24"/>
          <w:szCs w:val="24"/>
        </w:rPr>
        <w:t xml:space="preserve">a </w:t>
      </w:r>
      <w:r>
        <w:rPr>
          <w:rStyle w:val="Emphasis"/>
          <w:rFonts w:ascii="Times New Roman" w:hAnsi="Times New Roman" w:cs="Times New Roman"/>
          <w:b w:val="0"/>
          <w:color w:val="222222"/>
          <w:sz w:val="24"/>
          <w:szCs w:val="24"/>
        </w:rPr>
        <w:t xml:space="preserve">personal cleanup </w:t>
      </w:r>
      <w:r w:rsidR="004E3819">
        <w:rPr>
          <w:rStyle w:val="Emphasis"/>
          <w:rFonts w:ascii="Times New Roman" w:hAnsi="Times New Roman" w:cs="Times New Roman"/>
          <w:b w:val="0"/>
          <w:color w:val="222222"/>
          <w:sz w:val="24"/>
          <w:szCs w:val="24"/>
        </w:rPr>
        <w:t xml:space="preserve">order under </w:t>
      </w:r>
      <w:r w:rsidR="003168B3">
        <w:rPr>
          <w:rStyle w:val="Emphasis"/>
          <w:rFonts w:ascii="Times New Roman" w:hAnsi="Times New Roman" w:cs="Times New Roman"/>
          <w:b w:val="0"/>
          <w:color w:val="222222"/>
          <w:sz w:val="24"/>
          <w:szCs w:val="24"/>
        </w:rPr>
        <w:t>s.</w:t>
      </w:r>
      <w:r w:rsidR="004E3819">
        <w:rPr>
          <w:rStyle w:val="Emphasis"/>
          <w:rFonts w:ascii="Times New Roman" w:hAnsi="Times New Roman" w:cs="Times New Roman"/>
          <w:b w:val="0"/>
          <w:color w:val="222222"/>
          <w:sz w:val="24"/>
          <w:szCs w:val="24"/>
        </w:rPr>
        <w:t xml:space="preserve"> 17, 18 and 196 of the EPA against </w:t>
      </w:r>
      <w:r>
        <w:rPr>
          <w:rStyle w:val="Emphasis"/>
          <w:rFonts w:ascii="Times New Roman" w:hAnsi="Times New Roman" w:cs="Times New Roman"/>
          <w:b w:val="0"/>
          <w:color w:val="222222"/>
          <w:sz w:val="24"/>
          <w:szCs w:val="24"/>
        </w:rPr>
        <w:t xml:space="preserve">13 former </w:t>
      </w:r>
      <w:r w:rsidR="004E3819">
        <w:rPr>
          <w:rStyle w:val="Emphasis"/>
          <w:rFonts w:ascii="Times New Roman" w:hAnsi="Times New Roman" w:cs="Times New Roman"/>
          <w:b w:val="0"/>
          <w:color w:val="222222"/>
          <w:sz w:val="24"/>
          <w:szCs w:val="24"/>
        </w:rPr>
        <w:t>Directors and Officers</w:t>
      </w:r>
      <w:r w:rsidR="003168B3">
        <w:rPr>
          <w:rStyle w:val="Emphasis"/>
          <w:rFonts w:ascii="Times New Roman" w:hAnsi="Times New Roman" w:cs="Times New Roman"/>
          <w:b w:val="0"/>
          <w:color w:val="222222"/>
          <w:sz w:val="24"/>
          <w:szCs w:val="24"/>
        </w:rPr>
        <w:t xml:space="preserve"> of </w:t>
      </w:r>
      <w:proofErr w:type="spellStart"/>
      <w:r>
        <w:rPr>
          <w:rStyle w:val="Emphasis"/>
          <w:rFonts w:ascii="Times New Roman" w:hAnsi="Times New Roman" w:cs="Times New Roman"/>
          <w:b w:val="0"/>
          <w:color w:val="222222"/>
          <w:sz w:val="24"/>
          <w:szCs w:val="24"/>
        </w:rPr>
        <w:t>Northstar</w:t>
      </w:r>
      <w:proofErr w:type="spellEnd"/>
      <w:r>
        <w:rPr>
          <w:rStyle w:val="Emphasis"/>
          <w:rFonts w:ascii="Times New Roman" w:hAnsi="Times New Roman" w:cs="Times New Roman"/>
          <w:b w:val="0"/>
          <w:color w:val="222222"/>
          <w:sz w:val="24"/>
          <w:szCs w:val="24"/>
        </w:rPr>
        <w:t xml:space="preserve"> Canada and</w:t>
      </w:r>
      <w:r w:rsidR="00853C7F">
        <w:rPr>
          <w:rStyle w:val="Emphasis"/>
          <w:rFonts w:ascii="Times New Roman" w:hAnsi="Times New Roman" w:cs="Times New Roman"/>
          <w:b w:val="0"/>
          <w:color w:val="222222"/>
          <w:sz w:val="24"/>
          <w:szCs w:val="24"/>
        </w:rPr>
        <w:t>/or</w:t>
      </w:r>
      <w:r>
        <w:rPr>
          <w:rStyle w:val="Emphasis"/>
          <w:rFonts w:ascii="Times New Roman" w:hAnsi="Times New Roman" w:cs="Times New Roman"/>
          <w:b w:val="0"/>
          <w:color w:val="222222"/>
          <w:sz w:val="24"/>
          <w:szCs w:val="24"/>
        </w:rPr>
        <w:t xml:space="preserve"> of its US parent </w:t>
      </w:r>
      <w:r w:rsidR="003168B3">
        <w:rPr>
          <w:rStyle w:val="Emphasis"/>
          <w:rFonts w:ascii="Times New Roman" w:hAnsi="Times New Roman" w:cs="Times New Roman"/>
          <w:b w:val="0"/>
          <w:color w:val="222222"/>
          <w:sz w:val="24"/>
          <w:szCs w:val="24"/>
        </w:rPr>
        <w:t>company</w:t>
      </w:r>
      <w:r w:rsidR="004E3819">
        <w:rPr>
          <w:rStyle w:val="Emphasis"/>
          <w:rFonts w:ascii="Times New Roman" w:hAnsi="Times New Roman" w:cs="Times New Roman"/>
          <w:b w:val="0"/>
          <w:color w:val="222222"/>
          <w:sz w:val="24"/>
          <w:szCs w:val="24"/>
        </w:rPr>
        <w:t xml:space="preserve">, </w:t>
      </w:r>
      <w:r>
        <w:rPr>
          <w:rStyle w:val="Emphasis"/>
          <w:rFonts w:ascii="Times New Roman" w:hAnsi="Times New Roman" w:cs="Times New Roman"/>
          <w:b w:val="0"/>
          <w:color w:val="222222"/>
          <w:sz w:val="24"/>
          <w:szCs w:val="24"/>
        </w:rPr>
        <w:t xml:space="preserve">without any evidence that any of them had anything to do with </w:t>
      </w:r>
      <w:r w:rsidR="004E3819">
        <w:rPr>
          <w:rStyle w:val="Emphasis"/>
          <w:rFonts w:ascii="Times New Roman" w:hAnsi="Times New Roman" w:cs="Times New Roman"/>
          <w:b w:val="0"/>
          <w:color w:val="222222"/>
          <w:sz w:val="24"/>
          <w:szCs w:val="24"/>
        </w:rPr>
        <w:t xml:space="preserve">the </w:t>
      </w:r>
      <w:r>
        <w:rPr>
          <w:rStyle w:val="Emphasis"/>
          <w:rFonts w:ascii="Times New Roman" w:hAnsi="Times New Roman" w:cs="Times New Roman"/>
          <w:b w:val="0"/>
          <w:color w:val="222222"/>
          <w:sz w:val="24"/>
          <w:szCs w:val="24"/>
        </w:rPr>
        <w:t xml:space="preserve">site </w:t>
      </w:r>
      <w:r w:rsidR="004F0667">
        <w:rPr>
          <w:rStyle w:val="Emphasis"/>
          <w:rFonts w:ascii="Times New Roman" w:hAnsi="Times New Roman" w:cs="Times New Roman"/>
          <w:b w:val="0"/>
          <w:color w:val="222222"/>
          <w:sz w:val="24"/>
          <w:szCs w:val="24"/>
        </w:rPr>
        <w:t>when</w:t>
      </w:r>
      <w:r w:rsidR="004E3819">
        <w:rPr>
          <w:rStyle w:val="Emphasis"/>
          <w:rFonts w:ascii="Times New Roman" w:hAnsi="Times New Roman" w:cs="Times New Roman"/>
          <w:b w:val="0"/>
          <w:color w:val="222222"/>
          <w:sz w:val="24"/>
          <w:szCs w:val="24"/>
        </w:rPr>
        <w:t xml:space="preserve"> the contamination</w:t>
      </w:r>
      <w:r w:rsidR="00A76AA0">
        <w:rPr>
          <w:rStyle w:val="Emphasis"/>
          <w:rFonts w:ascii="Times New Roman" w:hAnsi="Times New Roman" w:cs="Times New Roman"/>
          <w:b w:val="0"/>
          <w:color w:val="222222"/>
          <w:sz w:val="24"/>
          <w:szCs w:val="24"/>
        </w:rPr>
        <w:t xml:space="preserve"> took place</w:t>
      </w:r>
      <w:r w:rsidR="004E3819">
        <w:rPr>
          <w:rStyle w:val="Emphasis"/>
          <w:rFonts w:ascii="Times New Roman" w:hAnsi="Times New Roman" w:cs="Times New Roman"/>
          <w:b w:val="0"/>
          <w:color w:val="222222"/>
          <w:sz w:val="24"/>
          <w:szCs w:val="24"/>
        </w:rPr>
        <w:t>.</w:t>
      </w:r>
      <w:r>
        <w:rPr>
          <w:rStyle w:val="Emphasis"/>
          <w:rFonts w:ascii="Times New Roman" w:hAnsi="Times New Roman" w:cs="Times New Roman"/>
          <w:b w:val="0"/>
          <w:color w:val="222222"/>
          <w:sz w:val="24"/>
          <w:szCs w:val="24"/>
        </w:rPr>
        <w:t xml:space="preserve"> </w:t>
      </w:r>
    </w:p>
    <w:p w:rsidR="00C84D0F" w:rsidRDefault="00C84D0F" w:rsidP="0009251A">
      <w:pPr>
        <w:jc w:val="both"/>
        <w:rPr>
          <w:rStyle w:val="Emphasis"/>
          <w:rFonts w:ascii="Times New Roman" w:hAnsi="Times New Roman" w:cs="Times New Roman"/>
          <w:b w:val="0"/>
          <w:color w:val="222222"/>
          <w:sz w:val="24"/>
          <w:szCs w:val="24"/>
        </w:rPr>
      </w:pPr>
    </w:p>
    <w:p w:rsidR="00D87DE3" w:rsidRDefault="00721F04"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Mr. Baker was a director of the US parent only, and only </w:t>
      </w:r>
      <w:r w:rsidR="00C001F3">
        <w:rPr>
          <w:rStyle w:val="Emphasis"/>
          <w:rFonts w:ascii="Times New Roman" w:hAnsi="Times New Roman" w:cs="Times New Roman"/>
          <w:b w:val="0"/>
          <w:color w:val="222222"/>
          <w:sz w:val="24"/>
          <w:szCs w:val="24"/>
        </w:rPr>
        <w:t xml:space="preserve">in the period </w:t>
      </w:r>
      <w:r>
        <w:rPr>
          <w:rStyle w:val="Emphasis"/>
          <w:rFonts w:ascii="Times New Roman" w:hAnsi="Times New Roman" w:cs="Times New Roman"/>
          <w:b w:val="0"/>
          <w:color w:val="222222"/>
          <w:sz w:val="24"/>
          <w:szCs w:val="24"/>
        </w:rPr>
        <w:t>after the Canadian site had shut down operations and was spending all its resources on cleanup under close MOE supervision.</w:t>
      </w:r>
      <w:r w:rsidR="004F0667">
        <w:rPr>
          <w:rStyle w:val="Emphasis"/>
          <w:rFonts w:ascii="Times New Roman" w:hAnsi="Times New Roman" w:cs="Times New Roman"/>
          <w:b w:val="0"/>
          <w:color w:val="222222"/>
          <w:sz w:val="24"/>
          <w:szCs w:val="24"/>
        </w:rPr>
        <w:t xml:space="preserve"> The directors and officers had no insurance against this type of order.</w:t>
      </w:r>
    </w:p>
    <w:p w:rsidR="004E3819" w:rsidRDefault="004E3819" w:rsidP="0009251A">
      <w:pPr>
        <w:jc w:val="both"/>
        <w:rPr>
          <w:rStyle w:val="Emphasis"/>
          <w:rFonts w:ascii="Times New Roman" w:hAnsi="Times New Roman" w:cs="Times New Roman"/>
          <w:b w:val="0"/>
          <w:color w:val="222222"/>
          <w:sz w:val="24"/>
          <w:szCs w:val="24"/>
        </w:rPr>
      </w:pPr>
    </w:p>
    <w:p w:rsidR="004E3819" w:rsidRDefault="004E3819"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The order</w:t>
      </w:r>
      <w:r w:rsidR="004F0667">
        <w:rPr>
          <w:rStyle w:val="Emphasis"/>
          <w:rFonts w:ascii="Times New Roman" w:hAnsi="Times New Roman" w:cs="Times New Roman"/>
          <w:b w:val="0"/>
          <w:color w:val="222222"/>
          <w:sz w:val="24"/>
          <w:szCs w:val="24"/>
        </w:rPr>
        <w:t xml:space="preserve"> cost the individual directors and officers more than $100,000 every month, money that they could not recover even if the order </w:t>
      </w:r>
      <w:r w:rsidR="00C84D0F">
        <w:rPr>
          <w:rStyle w:val="Emphasis"/>
          <w:rFonts w:ascii="Times New Roman" w:hAnsi="Times New Roman" w:cs="Times New Roman"/>
          <w:b w:val="0"/>
          <w:color w:val="222222"/>
          <w:sz w:val="24"/>
          <w:szCs w:val="24"/>
        </w:rPr>
        <w:t>were</w:t>
      </w:r>
      <w:r w:rsidR="004F0667">
        <w:rPr>
          <w:rStyle w:val="Emphasis"/>
          <w:rFonts w:ascii="Times New Roman" w:hAnsi="Times New Roman" w:cs="Times New Roman"/>
          <w:b w:val="0"/>
          <w:color w:val="222222"/>
          <w:sz w:val="24"/>
          <w:szCs w:val="24"/>
        </w:rPr>
        <w:t xml:space="preserve"> illegal and made without jurisdiction</w:t>
      </w:r>
      <w:r w:rsidR="00C84D0F">
        <w:rPr>
          <w:rStyle w:val="Emphasis"/>
          <w:rFonts w:ascii="Times New Roman" w:hAnsi="Times New Roman" w:cs="Times New Roman"/>
          <w:b w:val="0"/>
          <w:color w:val="222222"/>
          <w:sz w:val="24"/>
          <w:szCs w:val="24"/>
        </w:rPr>
        <w:t>.</w:t>
      </w:r>
      <w:r>
        <w:rPr>
          <w:rStyle w:val="Emphasis"/>
          <w:rFonts w:ascii="Times New Roman" w:hAnsi="Times New Roman" w:cs="Times New Roman"/>
          <w:b w:val="0"/>
          <w:color w:val="222222"/>
          <w:sz w:val="24"/>
          <w:szCs w:val="24"/>
        </w:rPr>
        <w:t xml:space="preserve"> The</w:t>
      </w:r>
      <w:r w:rsidR="00C84D0F">
        <w:rPr>
          <w:rStyle w:val="Emphasis"/>
          <w:rFonts w:ascii="Times New Roman" w:hAnsi="Times New Roman" w:cs="Times New Roman"/>
          <w:b w:val="0"/>
          <w:color w:val="222222"/>
          <w:sz w:val="24"/>
          <w:szCs w:val="24"/>
        </w:rPr>
        <w:t>y</w:t>
      </w:r>
      <w:r>
        <w:rPr>
          <w:rStyle w:val="Emphasis"/>
          <w:rFonts w:ascii="Times New Roman" w:hAnsi="Times New Roman" w:cs="Times New Roman"/>
          <w:b w:val="0"/>
          <w:color w:val="222222"/>
          <w:sz w:val="24"/>
          <w:szCs w:val="24"/>
        </w:rPr>
        <w:t xml:space="preserve"> appealed </w:t>
      </w:r>
      <w:r w:rsidR="00C84D0F">
        <w:rPr>
          <w:rStyle w:val="Emphasis"/>
          <w:rFonts w:ascii="Times New Roman" w:hAnsi="Times New Roman" w:cs="Times New Roman"/>
          <w:b w:val="0"/>
          <w:color w:val="222222"/>
          <w:sz w:val="24"/>
          <w:szCs w:val="24"/>
        </w:rPr>
        <w:t xml:space="preserve">the order </w:t>
      </w:r>
      <w:r>
        <w:rPr>
          <w:rStyle w:val="Emphasis"/>
          <w:rFonts w:ascii="Times New Roman" w:hAnsi="Times New Roman" w:cs="Times New Roman"/>
          <w:b w:val="0"/>
          <w:color w:val="222222"/>
          <w:sz w:val="24"/>
          <w:szCs w:val="24"/>
        </w:rPr>
        <w:t>to the ERT, and a motion was advanced to stay the order pending the hearing of the appeal.</w:t>
      </w:r>
    </w:p>
    <w:p w:rsidR="004E3819" w:rsidRDefault="004E3819" w:rsidP="0009251A">
      <w:pPr>
        <w:jc w:val="both"/>
        <w:rPr>
          <w:rStyle w:val="Emphasis"/>
          <w:rFonts w:ascii="Times New Roman" w:hAnsi="Times New Roman" w:cs="Times New Roman"/>
          <w:b w:val="0"/>
          <w:color w:val="222222"/>
          <w:sz w:val="24"/>
          <w:szCs w:val="24"/>
        </w:rPr>
      </w:pPr>
    </w:p>
    <w:p w:rsidR="004E3819" w:rsidRDefault="004E3819"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Both the ERT and the Divisional Court refused to issue a stay. Bu</w:t>
      </w:r>
      <w:r w:rsidR="00A76AA0">
        <w:rPr>
          <w:rStyle w:val="Emphasis"/>
          <w:rFonts w:ascii="Times New Roman" w:hAnsi="Times New Roman" w:cs="Times New Roman"/>
          <w:b w:val="0"/>
          <w:color w:val="222222"/>
          <w:sz w:val="24"/>
          <w:szCs w:val="24"/>
        </w:rPr>
        <w:t xml:space="preserve">t, as the </w:t>
      </w:r>
      <w:r w:rsidR="003168B3">
        <w:rPr>
          <w:rStyle w:val="Emphasis"/>
          <w:rFonts w:ascii="Times New Roman" w:hAnsi="Times New Roman" w:cs="Times New Roman"/>
          <w:b w:val="0"/>
          <w:color w:val="222222"/>
          <w:sz w:val="24"/>
          <w:szCs w:val="24"/>
        </w:rPr>
        <w:t xml:space="preserve">ERT and </w:t>
      </w:r>
      <w:r w:rsidR="00C92270">
        <w:rPr>
          <w:rStyle w:val="Emphasis"/>
          <w:rFonts w:ascii="Times New Roman" w:hAnsi="Times New Roman" w:cs="Times New Roman"/>
          <w:b w:val="0"/>
          <w:color w:val="222222"/>
          <w:sz w:val="24"/>
          <w:szCs w:val="24"/>
        </w:rPr>
        <w:t>C</w:t>
      </w:r>
      <w:r w:rsidR="00A76AA0">
        <w:rPr>
          <w:rStyle w:val="Emphasis"/>
          <w:rFonts w:ascii="Times New Roman" w:hAnsi="Times New Roman" w:cs="Times New Roman"/>
          <w:b w:val="0"/>
          <w:color w:val="222222"/>
          <w:sz w:val="24"/>
          <w:szCs w:val="24"/>
        </w:rPr>
        <w:t>ourt noted,</w:t>
      </w:r>
      <w:r>
        <w:rPr>
          <w:rStyle w:val="Emphasis"/>
          <w:rFonts w:ascii="Times New Roman" w:hAnsi="Times New Roman" w:cs="Times New Roman"/>
          <w:b w:val="0"/>
          <w:color w:val="222222"/>
          <w:sz w:val="24"/>
          <w:szCs w:val="24"/>
        </w:rPr>
        <w:t xml:space="preserve"> </w:t>
      </w:r>
      <w:r w:rsidR="003168B3">
        <w:rPr>
          <w:rStyle w:val="Emphasis"/>
          <w:rFonts w:ascii="Times New Roman" w:hAnsi="Times New Roman" w:cs="Times New Roman"/>
          <w:b w:val="0"/>
          <w:color w:val="222222"/>
          <w:sz w:val="24"/>
          <w:szCs w:val="24"/>
        </w:rPr>
        <w:t xml:space="preserve">s. 143(2) of the EPA prohibits stays for monitoring and remediation costs. Furthermore, </w:t>
      </w:r>
      <w:r>
        <w:rPr>
          <w:rStyle w:val="Emphasis"/>
          <w:rFonts w:ascii="Times New Roman" w:hAnsi="Times New Roman" w:cs="Times New Roman"/>
          <w:b w:val="0"/>
          <w:color w:val="222222"/>
          <w:sz w:val="24"/>
          <w:szCs w:val="24"/>
        </w:rPr>
        <w:t xml:space="preserve">the mere expenditure of money does not create a right to a stay, even if it may never be recovered. As the </w:t>
      </w:r>
      <w:r>
        <w:rPr>
          <w:rStyle w:val="Emphasis"/>
          <w:rFonts w:ascii="Times New Roman" w:hAnsi="Times New Roman" w:cs="Times New Roman"/>
          <w:b w:val="0"/>
          <w:color w:val="222222"/>
          <w:sz w:val="24"/>
          <w:szCs w:val="24"/>
        </w:rPr>
        <w:lastRenderedPageBreak/>
        <w:t>stay motion was interlocutory, there was no right of appeal</w:t>
      </w:r>
      <w:r w:rsidR="005D7DE2">
        <w:rPr>
          <w:rStyle w:val="Emphasis"/>
          <w:rFonts w:ascii="Times New Roman" w:hAnsi="Times New Roman" w:cs="Times New Roman"/>
          <w:b w:val="0"/>
          <w:color w:val="222222"/>
          <w:sz w:val="24"/>
          <w:szCs w:val="24"/>
        </w:rPr>
        <w:t xml:space="preserve"> in the EPA</w:t>
      </w:r>
      <w:r>
        <w:rPr>
          <w:rStyle w:val="Emphasis"/>
          <w:rFonts w:ascii="Times New Roman" w:hAnsi="Times New Roman" w:cs="Times New Roman"/>
          <w:b w:val="0"/>
          <w:color w:val="222222"/>
          <w:sz w:val="24"/>
          <w:szCs w:val="24"/>
        </w:rPr>
        <w:t xml:space="preserve">. The </w:t>
      </w:r>
      <w:r w:rsidR="00A76AA0">
        <w:rPr>
          <w:rStyle w:val="Emphasis"/>
          <w:rFonts w:ascii="Times New Roman" w:hAnsi="Times New Roman" w:cs="Times New Roman"/>
          <w:b w:val="0"/>
          <w:color w:val="222222"/>
          <w:sz w:val="24"/>
          <w:szCs w:val="24"/>
        </w:rPr>
        <w:t>Court</w:t>
      </w:r>
      <w:r>
        <w:rPr>
          <w:rStyle w:val="Emphasis"/>
          <w:rFonts w:ascii="Times New Roman" w:hAnsi="Times New Roman" w:cs="Times New Roman"/>
          <w:b w:val="0"/>
          <w:color w:val="222222"/>
          <w:sz w:val="24"/>
          <w:szCs w:val="24"/>
        </w:rPr>
        <w:t xml:space="preserve"> concluded that a judicial review was premature before the appeal had been argued on </w:t>
      </w:r>
      <w:r w:rsidR="00A76AA0">
        <w:rPr>
          <w:rStyle w:val="Emphasis"/>
          <w:rFonts w:ascii="Times New Roman" w:hAnsi="Times New Roman" w:cs="Times New Roman"/>
          <w:b w:val="0"/>
          <w:color w:val="222222"/>
          <w:sz w:val="24"/>
          <w:szCs w:val="24"/>
        </w:rPr>
        <w:t>its merits before the ERT. The C</w:t>
      </w:r>
      <w:r>
        <w:rPr>
          <w:rStyle w:val="Emphasis"/>
          <w:rFonts w:ascii="Times New Roman" w:hAnsi="Times New Roman" w:cs="Times New Roman"/>
          <w:b w:val="0"/>
          <w:color w:val="222222"/>
          <w:sz w:val="24"/>
          <w:szCs w:val="24"/>
        </w:rPr>
        <w:t xml:space="preserve">ourt </w:t>
      </w:r>
      <w:r w:rsidR="00A76AA0">
        <w:rPr>
          <w:rStyle w:val="Emphasis"/>
          <w:rFonts w:ascii="Times New Roman" w:hAnsi="Times New Roman" w:cs="Times New Roman"/>
          <w:b w:val="0"/>
          <w:color w:val="222222"/>
          <w:sz w:val="24"/>
          <w:szCs w:val="24"/>
        </w:rPr>
        <w:t xml:space="preserve">also </w:t>
      </w:r>
      <w:r>
        <w:rPr>
          <w:rStyle w:val="Emphasis"/>
          <w:rFonts w:ascii="Times New Roman" w:hAnsi="Times New Roman" w:cs="Times New Roman"/>
          <w:b w:val="0"/>
          <w:color w:val="222222"/>
          <w:sz w:val="24"/>
          <w:szCs w:val="24"/>
        </w:rPr>
        <w:t xml:space="preserve">noted that the applicant had failed to exhaust other legal remedies (a rehearing </w:t>
      </w:r>
      <w:r w:rsidR="005D7DE2">
        <w:rPr>
          <w:rStyle w:val="Emphasis"/>
          <w:rFonts w:ascii="Times New Roman" w:hAnsi="Times New Roman" w:cs="Times New Roman"/>
          <w:b w:val="0"/>
          <w:color w:val="222222"/>
          <w:sz w:val="24"/>
          <w:szCs w:val="24"/>
        </w:rPr>
        <w:t xml:space="preserve">at the ERT </w:t>
      </w:r>
      <w:r>
        <w:rPr>
          <w:rStyle w:val="Emphasis"/>
          <w:rFonts w:ascii="Times New Roman" w:hAnsi="Times New Roman" w:cs="Times New Roman"/>
          <w:b w:val="0"/>
          <w:color w:val="222222"/>
          <w:sz w:val="24"/>
          <w:szCs w:val="24"/>
        </w:rPr>
        <w:t>based on new evidence) prior to applying for judicial review.</w:t>
      </w:r>
      <w:r w:rsidR="00965141">
        <w:rPr>
          <w:rStyle w:val="Emphasis"/>
          <w:rFonts w:ascii="Times New Roman" w:hAnsi="Times New Roman" w:cs="Times New Roman"/>
          <w:b w:val="0"/>
          <w:color w:val="222222"/>
          <w:sz w:val="24"/>
          <w:szCs w:val="24"/>
        </w:rPr>
        <w:t xml:space="preserve"> The C</w:t>
      </w:r>
      <w:r w:rsidR="00C84D0F">
        <w:rPr>
          <w:rStyle w:val="Emphasis"/>
          <w:rFonts w:ascii="Times New Roman" w:hAnsi="Times New Roman" w:cs="Times New Roman"/>
          <w:b w:val="0"/>
          <w:color w:val="222222"/>
          <w:sz w:val="24"/>
          <w:szCs w:val="24"/>
        </w:rPr>
        <w:t xml:space="preserve">ourt may also have been swayed by a paragraph in the order which implied that the contamination was due to a 1995 spill, during </w:t>
      </w:r>
      <w:proofErr w:type="spellStart"/>
      <w:r w:rsidR="00C84D0F">
        <w:rPr>
          <w:rStyle w:val="Emphasis"/>
          <w:rFonts w:ascii="Times New Roman" w:hAnsi="Times New Roman" w:cs="Times New Roman"/>
          <w:b w:val="0"/>
          <w:color w:val="222222"/>
          <w:sz w:val="24"/>
          <w:szCs w:val="24"/>
        </w:rPr>
        <w:t>Northstar</w:t>
      </w:r>
      <w:proofErr w:type="spellEnd"/>
      <w:r w:rsidR="00C84D0F">
        <w:rPr>
          <w:rStyle w:val="Emphasis"/>
          <w:rFonts w:ascii="Times New Roman" w:hAnsi="Times New Roman" w:cs="Times New Roman"/>
          <w:b w:val="0"/>
          <w:color w:val="222222"/>
          <w:sz w:val="24"/>
          <w:szCs w:val="24"/>
        </w:rPr>
        <w:t xml:space="preserve"> Canada’s operations; the Crown withdrew this allegation, but not until after the stay had been refused.</w:t>
      </w:r>
    </w:p>
    <w:p w:rsidR="0010423E" w:rsidRDefault="0010423E" w:rsidP="0009251A">
      <w:pPr>
        <w:jc w:val="both"/>
        <w:rPr>
          <w:rStyle w:val="Emphasis"/>
          <w:rFonts w:ascii="Times New Roman" w:hAnsi="Times New Roman" w:cs="Times New Roman"/>
          <w:b w:val="0"/>
          <w:color w:val="222222"/>
          <w:sz w:val="24"/>
          <w:szCs w:val="24"/>
        </w:rPr>
      </w:pPr>
    </w:p>
    <w:p w:rsidR="004E3819" w:rsidRDefault="00C84D0F"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Although the directors had a strong legal argument, the unrecoverable costs of the ongoing work and of the appeal were too great, especially since both sides threatened to go to the Supreme Court. </w:t>
      </w:r>
      <w:r w:rsidR="004E3819">
        <w:rPr>
          <w:rStyle w:val="Emphasis"/>
          <w:rFonts w:ascii="Times New Roman" w:hAnsi="Times New Roman" w:cs="Times New Roman"/>
          <w:b w:val="0"/>
          <w:color w:val="222222"/>
          <w:sz w:val="24"/>
          <w:szCs w:val="24"/>
        </w:rPr>
        <w:t>The case was settled</w:t>
      </w:r>
      <w:r w:rsidR="00C92270">
        <w:rPr>
          <w:rStyle w:val="Emphasis"/>
          <w:rFonts w:ascii="Times New Roman" w:hAnsi="Times New Roman" w:cs="Times New Roman"/>
          <w:b w:val="0"/>
          <w:color w:val="222222"/>
          <w:sz w:val="24"/>
          <w:szCs w:val="24"/>
        </w:rPr>
        <w:t>,</w:t>
      </w:r>
      <w:r w:rsidR="004E3819">
        <w:rPr>
          <w:rStyle w:val="Emphasis"/>
          <w:rFonts w:ascii="Times New Roman" w:hAnsi="Times New Roman" w:cs="Times New Roman"/>
          <w:b w:val="0"/>
          <w:color w:val="222222"/>
          <w:sz w:val="24"/>
          <w:szCs w:val="24"/>
        </w:rPr>
        <w:t xml:space="preserve"> before the </w:t>
      </w:r>
      <w:r w:rsidR="00A76AA0">
        <w:rPr>
          <w:rStyle w:val="Emphasis"/>
          <w:rFonts w:ascii="Times New Roman" w:hAnsi="Times New Roman" w:cs="Times New Roman"/>
          <w:b w:val="0"/>
          <w:color w:val="222222"/>
          <w:sz w:val="24"/>
          <w:szCs w:val="24"/>
        </w:rPr>
        <w:t xml:space="preserve">ERT </w:t>
      </w:r>
      <w:r w:rsidR="004E3819">
        <w:rPr>
          <w:rStyle w:val="Emphasis"/>
          <w:rFonts w:ascii="Times New Roman" w:hAnsi="Times New Roman" w:cs="Times New Roman"/>
          <w:b w:val="0"/>
          <w:color w:val="222222"/>
          <w:sz w:val="24"/>
          <w:szCs w:val="24"/>
        </w:rPr>
        <w:t>hearing on the merits</w:t>
      </w:r>
      <w:r w:rsidR="003168B3">
        <w:rPr>
          <w:rStyle w:val="Emphasis"/>
          <w:rFonts w:ascii="Times New Roman" w:hAnsi="Times New Roman" w:cs="Times New Roman"/>
          <w:b w:val="0"/>
          <w:color w:val="222222"/>
          <w:sz w:val="24"/>
          <w:szCs w:val="24"/>
        </w:rPr>
        <w:t xml:space="preserve"> was held</w:t>
      </w:r>
      <w:r w:rsidR="00C92270">
        <w:rPr>
          <w:rStyle w:val="Emphasis"/>
          <w:rFonts w:ascii="Times New Roman" w:hAnsi="Times New Roman" w:cs="Times New Roman"/>
          <w:b w:val="0"/>
          <w:color w:val="222222"/>
          <w:sz w:val="24"/>
          <w:szCs w:val="24"/>
        </w:rPr>
        <w:t>,</w:t>
      </w:r>
      <w:r w:rsidR="003168B3">
        <w:rPr>
          <w:rStyle w:val="Emphasis"/>
          <w:rFonts w:ascii="Times New Roman" w:hAnsi="Times New Roman" w:cs="Times New Roman"/>
          <w:b w:val="0"/>
          <w:color w:val="222222"/>
          <w:sz w:val="24"/>
          <w:szCs w:val="24"/>
        </w:rPr>
        <w:t xml:space="preserve"> for</w:t>
      </w:r>
      <w:r w:rsidR="00965141">
        <w:rPr>
          <w:rStyle w:val="Emphasis"/>
          <w:rFonts w:ascii="Times New Roman" w:hAnsi="Times New Roman" w:cs="Times New Roman"/>
          <w:b w:val="0"/>
          <w:color w:val="222222"/>
          <w:sz w:val="24"/>
          <w:szCs w:val="24"/>
        </w:rPr>
        <w:t xml:space="preserve"> </w:t>
      </w:r>
      <w:r w:rsidR="003168B3">
        <w:rPr>
          <w:rStyle w:val="Emphasis"/>
          <w:rFonts w:ascii="Times New Roman" w:hAnsi="Times New Roman" w:cs="Times New Roman"/>
          <w:b w:val="0"/>
          <w:color w:val="222222"/>
          <w:sz w:val="24"/>
          <w:szCs w:val="24"/>
        </w:rPr>
        <w:t>$4.75 m</w:t>
      </w:r>
      <w:r w:rsidR="004E3819">
        <w:rPr>
          <w:rStyle w:val="Emphasis"/>
          <w:rFonts w:ascii="Times New Roman" w:hAnsi="Times New Roman" w:cs="Times New Roman"/>
          <w:b w:val="0"/>
          <w:color w:val="222222"/>
          <w:sz w:val="24"/>
          <w:szCs w:val="24"/>
        </w:rPr>
        <w:t>illion.</w:t>
      </w:r>
      <w:r>
        <w:rPr>
          <w:rStyle w:val="Emphasis"/>
          <w:rFonts w:ascii="Times New Roman" w:hAnsi="Times New Roman" w:cs="Times New Roman"/>
          <w:b w:val="0"/>
          <w:color w:val="222222"/>
          <w:sz w:val="24"/>
          <w:szCs w:val="24"/>
        </w:rPr>
        <w:t xml:space="preserve"> The MOE took back control of the cleanup, and immediately cut back on the work being done.</w:t>
      </w:r>
    </w:p>
    <w:p w:rsidR="003168B3" w:rsidRDefault="003168B3" w:rsidP="003168B3">
      <w:pPr>
        <w:jc w:val="both"/>
        <w:rPr>
          <w:rFonts w:ascii="Times New Roman" w:hAnsi="Times New Roman" w:cs="Times New Roman"/>
          <w:sz w:val="24"/>
          <w:szCs w:val="24"/>
        </w:rPr>
      </w:pPr>
    </w:p>
    <w:p w:rsidR="003168B3" w:rsidRDefault="003168B3" w:rsidP="003168B3">
      <w:pPr>
        <w:jc w:val="both"/>
        <w:rPr>
          <w:rFonts w:ascii="Times New Roman" w:hAnsi="Times New Roman" w:cs="Times New Roman"/>
          <w:sz w:val="24"/>
          <w:szCs w:val="24"/>
        </w:rPr>
      </w:pPr>
      <w:r>
        <w:rPr>
          <w:rFonts w:ascii="Times New Roman" w:hAnsi="Times New Roman" w:cs="Times New Roman"/>
          <w:sz w:val="24"/>
          <w:szCs w:val="24"/>
        </w:rPr>
        <w:t>The panel will discuss the likelihood of orders like this and the precautions that can be taken to guard against liability.</w:t>
      </w:r>
    </w:p>
    <w:p w:rsidR="00FA50C7" w:rsidRDefault="00FA50C7" w:rsidP="003168B3">
      <w:pPr>
        <w:jc w:val="both"/>
        <w:rPr>
          <w:rFonts w:ascii="Times New Roman" w:hAnsi="Times New Roman" w:cs="Times New Roman"/>
          <w:sz w:val="24"/>
          <w:szCs w:val="24"/>
        </w:rPr>
      </w:pPr>
    </w:p>
    <w:p w:rsidR="004E3819" w:rsidRPr="007735E3" w:rsidRDefault="004E3819" w:rsidP="003168B3">
      <w:pPr>
        <w:rPr>
          <w:rStyle w:val="Emphasis"/>
          <w:rFonts w:ascii="Times New Roman" w:hAnsi="Times New Roman" w:cs="Times New Roman"/>
          <w:i/>
          <w:color w:val="222222"/>
          <w:sz w:val="24"/>
          <w:szCs w:val="24"/>
        </w:rPr>
      </w:pPr>
      <w:r w:rsidRPr="007735E3">
        <w:rPr>
          <w:rStyle w:val="Emphasis"/>
          <w:rFonts w:ascii="Times New Roman" w:hAnsi="Times New Roman" w:cs="Times New Roman"/>
          <w:i/>
          <w:color w:val="222222"/>
          <w:sz w:val="24"/>
          <w:szCs w:val="24"/>
        </w:rPr>
        <w:t>Prosecution</w:t>
      </w:r>
    </w:p>
    <w:p w:rsidR="004E3819" w:rsidRDefault="004E3819" w:rsidP="0009251A">
      <w:pPr>
        <w:jc w:val="both"/>
        <w:rPr>
          <w:rStyle w:val="Emphasis"/>
          <w:rFonts w:ascii="Times New Roman" w:hAnsi="Times New Roman" w:cs="Times New Roman"/>
          <w:b w:val="0"/>
          <w:color w:val="222222"/>
          <w:sz w:val="24"/>
          <w:szCs w:val="24"/>
        </w:rPr>
      </w:pPr>
    </w:p>
    <w:p w:rsidR="001B2D8B" w:rsidRDefault="004E3819"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Another route to liability is the quasi-criminal prosecution. Once again, there is a wide range of offences in Ontario's environmental legislation. Some of these are punishable by very larg</w:t>
      </w:r>
      <w:r w:rsidR="001B2D8B">
        <w:rPr>
          <w:rStyle w:val="Emphasis"/>
          <w:rFonts w:ascii="Times New Roman" w:hAnsi="Times New Roman" w:cs="Times New Roman"/>
          <w:b w:val="0"/>
          <w:color w:val="222222"/>
          <w:sz w:val="24"/>
          <w:szCs w:val="24"/>
        </w:rPr>
        <w:t>e fines (or even imprisonment).</w:t>
      </w:r>
    </w:p>
    <w:p w:rsidR="001B2D8B" w:rsidRDefault="001B2D8B" w:rsidP="0009251A">
      <w:pPr>
        <w:jc w:val="both"/>
        <w:rPr>
          <w:rStyle w:val="Emphasis"/>
          <w:rFonts w:ascii="Times New Roman" w:hAnsi="Times New Roman" w:cs="Times New Roman"/>
          <w:b w:val="0"/>
          <w:color w:val="222222"/>
          <w:sz w:val="24"/>
          <w:szCs w:val="24"/>
        </w:rPr>
      </w:pPr>
    </w:p>
    <w:p w:rsidR="004E3819" w:rsidRDefault="004E3819"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Of particular concern to municipalities, </w:t>
      </w:r>
      <w:r w:rsidR="00A76AA0">
        <w:rPr>
          <w:rStyle w:val="Emphasis"/>
          <w:rFonts w:ascii="Times New Roman" w:hAnsi="Times New Roman" w:cs="Times New Roman"/>
          <w:b w:val="0"/>
          <w:color w:val="222222"/>
          <w:sz w:val="24"/>
          <w:szCs w:val="24"/>
        </w:rPr>
        <w:t>are</w:t>
      </w:r>
      <w:r>
        <w:rPr>
          <w:rStyle w:val="Emphasis"/>
          <w:rFonts w:ascii="Times New Roman" w:hAnsi="Times New Roman" w:cs="Times New Roman"/>
          <w:b w:val="0"/>
          <w:color w:val="222222"/>
          <w:sz w:val="24"/>
          <w:szCs w:val="24"/>
        </w:rPr>
        <w:t xml:space="preserve"> </w:t>
      </w:r>
      <w:r w:rsidR="001B2D8B">
        <w:rPr>
          <w:rStyle w:val="Emphasis"/>
          <w:rFonts w:ascii="Times New Roman" w:hAnsi="Times New Roman" w:cs="Times New Roman"/>
          <w:b w:val="0"/>
          <w:color w:val="222222"/>
          <w:sz w:val="24"/>
          <w:szCs w:val="24"/>
        </w:rPr>
        <w:t>s</w:t>
      </w:r>
      <w:r w:rsidR="00A76AA0">
        <w:rPr>
          <w:rStyle w:val="Emphasis"/>
          <w:rFonts w:ascii="Times New Roman" w:hAnsi="Times New Roman" w:cs="Times New Roman"/>
          <w:b w:val="0"/>
          <w:color w:val="222222"/>
          <w:sz w:val="24"/>
          <w:szCs w:val="24"/>
        </w:rPr>
        <w:t xml:space="preserve">s. </w:t>
      </w:r>
      <w:r>
        <w:rPr>
          <w:rStyle w:val="Emphasis"/>
          <w:rFonts w:ascii="Times New Roman" w:hAnsi="Times New Roman" w:cs="Times New Roman"/>
          <w:b w:val="0"/>
          <w:color w:val="222222"/>
          <w:sz w:val="24"/>
          <w:szCs w:val="24"/>
        </w:rPr>
        <w:t xml:space="preserve">187(3)-(4) and 188 of the EPA. The combined effect of these sections is to impose mandatory minimum fines for certain offences. The EPA provides that any prior conviction under a number of environmental </w:t>
      </w:r>
      <w:r w:rsidR="00ED4568">
        <w:rPr>
          <w:rStyle w:val="Emphasis"/>
          <w:rFonts w:ascii="Times New Roman" w:hAnsi="Times New Roman" w:cs="Times New Roman"/>
          <w:b w:val="0"/>
          <w:color w:val="222222"/>
          <w:sz w:val="24"/>
          <w:szCs w:val="24"/>
        </w:rPr>
        <w:t xml:space="preserve">statutes including the EPA, the </w:t>
      </w:r>
      <w:r w:rsidR="00ED4568" w:rsidRPr="00ED4568">
        <w:rPr>
          <w:rStyle w:val="Emphasis"/>
          <w:rFonts w:ascii="Times New Roman" w:hAnsi="Times New Roman" w:cs="Times New Roman"/>
          <w:b w:val="0"/>
          <w:i/>
          <w:color w:val="222222"/>
          <w:sz w:val="24"/>
          <w:szCs w:val="24"/>
        </w:rPr>
        <w:t>Ontario Water Resources Act</w:t>
      </w:r>
      <w:r w:rsidR="00ED4568">
        <w:rPr>
          <w:rStyle w:val="Emphasis"/>
          <w:rFonts w:ascii="Times New Roman" w:hAnsi="Times New Roman" w:cs="Times New Roman"/>
          <w:b w:val="0"/>
          <w:color w:val="222222"/>
          <w:sz w:val="24"/>
          <w:szCs w:val="24"/>
        </w:rPr>
        <w:t xml:space="preserve">, the </w:t>
      </w:r>
      <w:r w:rsidR="00ED4568" w:rsidRPr="00ED4568">
        <w:rPr>
          <w:rStyle w:val="Emphasis"/>
          <w:rFonts w:ascii="Times New Roman" w:hAnsi="Times New Roman" w:cs="Times New Roman"/>
          <w:b w:val="0"/>
          <w:i/>
          <w:color w:val="222222"/>
          <w:sz w:val="24"/>
          <w:szCs w:val="24"/>
        </w:rPr>
        <w:t>Pesticides Act</w:t>
      </w:r>
      <w:r w:rsidR="00ED4568">
        <w:rPr>
          <w:rStyle w:val="Emphasis"/>
          <w:rFonts w:ascii="Times New Roman" w:hAnsi="Times New Roman" w:cs="Times New Roman"/>
          <w:b w:val="0"/>
          <w:color w:val="222222"/>
          <w:sz w:val="24"/>
          <w:szCs w:val="24"/>
        </w:rPr>
        <w:t>, and others, is considered, apparently regardless of how long ago, and how the activity relates to the subject matter before the court. As a result, municipalities can find themselves routinely exposed to mandatory minimum fines of $100,000 (a</w:t>
      </w:r>
      <w:r w:rsidR="003168B3">
        <w:rPr>
          <w:rStyle w:val="Emphasis"/>
          <w:rFonts w:ascii="Times New Roman" w:hAnsi="Times New Roman" w:cs="Times New Roman"/>
          <w:b w:val="0"/>
          <w:color w:val="222222"/>
          <w:sz w:val="24"/>
          <w:szCs w:val="24"/>
        </w:rPr>
        <w:t>nd which may go as high as $10 m</w:t>
      </w:r>
      <w:r w:rsidR="00ED4568">
        <w:rPr>
          <w:rStyle w:val="Emphasis"/>
          <w:rFonts w:ascii="Times New Roman" w:hAnsi="Times New Roman" w:cs="Times New Roman"/>
          <w:b w:val="0"/>
          <w:color w:val="222222"/>
          <w:sz w:val="24"/>
          <w:szCs w:val="24"/>
        </w:rPr>
        <w:t>illion per offence).</w:t>
      </w:r>
    </w:p>
    <w:p w:rsidR="00ED4568" w:rsidRDefault="00ED4568" w:rsidP="0009251A">
      <w:pPr>
        <w:jc w:val="both"/>
        <w:rPr>
          <w:rStyle w:val="Emphasis"/>
          <w:rFonts w:ascii="Times New Roman" w:hAnsi="Times New Roman" w:cs="Times New Roman"/>
          <w:b w:val="0"/>
          <w:color w:val="222222"/>
          <w:sz w:val="24"/>
          <w:szCs w:val="24"/>
        </w:rPr>
      </w:pPr>
    </w:p>
    <w:p w:rsidR="00ED4568" w:rsidRDefault="00ED4568"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A recent </w:t>
      </w:r>
      <w:r w:rsidR="00A76AA0">
        <w:rPr>
          <w:rStyle w:val="Emphasis"/>
          <w:rFonts w:ascii="Times New Roman" w:hAnsi="Times New Roman" w:cs="Times New Roman"/>
          <w:b w:val="0"/>
          <w:color w:val="222222"/>
          <w:sz w:val="24"/>
          <w:szCs w:val="24"/>
        </w:rPr>
        <w:t>prosecution of note</w:t>
      </w:r>
      <w:r>
        <w:rPr>
          <w:rStyle w:val="Emphasis"/>
          <w:rFonts w:ascii="Times New Roman" w:hAnsi="Times New Roman" w:cs="Times New Roman"/>
          <w:b w:val="0"/>
          <w:color w:val="222222"/>
          <w:sz w:val="24"/>
          <w:szCs w:val="24"/>
        </w:rPr>
        <w:t xml:space="preserve"> is </w:t>
      </w:r>
      <w:proofErr w:type="spellStart"/>
      <w:r w:rsidRPr="00ED4568">
        <w:rPr>
          <w:rStyle w:val="Emphasis"/>
          <w:rFonts w:ascii="Times New Roman" w:hAnsi="Times New Roman" w:cs="Times New Roman"/>
          <w:b w:val="0"/>
          <w:i/>
          <w:color w:val="222222"/>
          <w:sz w:val="24"/>
          <w:szCs w:val="24"/>
        </w:rPr>
        <w:t>Castonguay</w:t>
      </w:r>
      <w:proofErr w:type="spellEnd"/>
      <w:r w:rsidRPr="00ED4568">
        <w:rPr>
          <w:rStyle w:val="Emphasis"/>
          <w:rFonts w:ascii="Times New Roman" w:hAnsi="Times New Roman" w:cs="Times New Roman"/>
          <w:b w:val="0"/>
          <w:i/>
          <w:color w:val="222222"/>
          <w:sz w:val="24"/>
          <w:szCs w:val="24"/>
        </w:rPr>
        <w:t xml:space="preserve"> Blasting Ltd. v. Ontario (MOE)</w:t>
      </w:r>
      <w:r>
        <w:rPr>
          <w:rStyle w:val="FootnoteReference"/>
          <w:rFonts w:ascii="Times New Roman" w:hAnsi="Times New Roman" w:cs="Times New Roman"/>
          <w:bCs/>
          <w:color w:val="222222"/>
          <w:sz w:val="24"/>
          <w:szCs w:val="24"/>
        </w:rPr>
        <w:footnoteReference w:id="4"/>
      </w:r>
      <w:r>
        <w:rPr>
          <w:rStyle w:val="Emphasis"/>
          <w:rFonts w:ascii="Times New Roman" w:hAnsi="Times New Roman" w:cs="Times New Roman"/>
          <w:b w:val="0"/>
          <w:color w:val="222222"/>
          <w:sz w:val="24"/>
          <w:szCs w:val="24"/>
        </w:rPr>
        <w:t xml:space="preserve"> which made its way up to the Supreme Court of Canada in 2013.</w:t>
      </w:r>
    </w:p>
    <w:p w:rsidR="00ED4568" w:rsidRDefault="00ED4568" w:rsidP="0009251A">
      <w:pPr>
        <w:jc w:val="both"/>
        <w:rPr>
          <w:rStyle w:val="Emphasis"/>
          <w:rFonts w:ascii="Times New Roman" w:hAnsi="Times New Roman" w:cs="Times New Roman"/>
          <w:b w:val="0"/>
          <w:color w:val="222222"/>
          <w:sz w:val="24"/>
          <w:szCs w:val="24"/>
        </w:rPr>
      </w:pPr>
    </w:p>
    <w:p w:rsidR="00ED4568" w:rsidRDefault="00ED4568" w:rsidP="0009251A">
      <w:pPr>
        <w:jc w:val="both"/>
        <w:rPr>
          <w:rStyle w:val="Emphasis"/>
          <w:rFonts w:ascii="Times New Roman" w:hAnsi="Times New Roman" w:cs="Times New Roman"/>
          <w:b w:val="0"/>
          <w:color w:val="222222"/>
          <w:sz w:val="24"/>
          <w:szCs w:val="24"/>
        </w:rPr>
      </w:pPr>
      <w:proofErr w:type="spellStart"/>
      <w:r>
        <w:rPr>
          <w:rStyle w:val="Emphasis"/>
          <w:rFonts w:ascii="Times New Roman" w:hAnsi="Times New Roman" w:cs="Times New Roman"/>
          <w:b w:val="0"/>
          <w:color w:val="222222"/>
          <w:sz w:val="24"/>
          <w:szCs w:val="24"/>
        </w:rPr>
        <w:t>Castonguay</w:t>
      </w:r>
      <w:proofErr w:type="spellEnd"/>
      <w:r>
        <w:rPr>
          <w:rStyle w:val="Emphasis"/>
          <w:rFonts w:ascii="Times New Roman" w:hAnsi="Times New Roman" w:cs="Times New Roman"/>
          <w:b w:val="0"/>
          <w:color w:val="222222"/>
          <w:sz w:val="24"/>
          <w:szCs w:val="24"/>
        </w:rPr>
        <w:t xml:space="preserve"> was charged with failing to report the discharge of </w:t>
      </w:r>
      <w:proofErr w:type="spellStart"/>
      <w:r>
        <w:rPr>
          <w:rStyle w:val="Emphasis"/>
          <w:rFonts w:ascii="Times New Roman" w:hAnsi="Times New Roman" w:cs="Times New Roman"/>
          <w:b w:val="0"/>
          <w:color w:val="222222"/>
          <w:sz w:val="24"/>
          <w:szCs w:val="24"/>
        </w:rPr>
        <w:t>flyrock</w:t>
      </w:r>
      <w:proofErr w:type="spellEnd"/>
      <w:r>
        <w:rPr>
          <w:rStyle w:val="Emphasis"/>
          <w:rFonts w:ascii="Times New Roman" w:hAnsi="Times New Roman" w:cs="Times New Roman"/>
          <w:b w:val="0"/>
          <w:color w:val="222222"/>
          <w:sz w:val="24"/>
          <w:szCs w:val="24"/>
        </w:rPr>
        <w:t xml:space="preserve"> during blasting operations in Marmora in 2007</w:t>
      </w:r>
      <w:r w:rsidR="00F73BD8" w:rsidRPr="00F73BD8">
        <w:rPr>
          <w:rStyle w:val="Emphasis"/>
          <w:rFonts w:ascii="Times New Roman" w:hAnsi="Times New Roman" w:cs="Times New Roman"/>
          <w:b w:val="0"/>
          <w:color w:val="222222"/>
          <w:sz w:val="24"/>
          <w:szCs w:val="24"/>
        </w:rPr>
        <w:t xml:space="preserve"> </w:t>
      </w:r>
      <w:r w:rsidR="00F73BD8">
        <w:rPr>
          <w:rStyle w:val="Emphasis"/>
          <w:rFonts w:ascii="Times New Roman" w:hAnsi="Times New Roman" w:cs="Times New Roman"/>
          <w:b w:val="0"/>
          <w:color w:val="222222"/>
          <w:sz w:val="24"/>
          <w:szCs w:val="24"/>
        </w:rPr>
        <w:t>under s. 15 of the EPA</w:t>
      </w:r>
      <w:r>
        <w:rPr>
          <w:rStyle w:val="Emphasis"/>
          <w:rFonts w:ascii="Times New Roman" w:hAnsi="Times New Roman" w:cs="Times New Roman"/>
          <w:b w:val="0"/>
          <w:color w:val="222222"/>
          <w:sz w:val="24"/>
          <w:szCs w:val="24"/>
        </w:rPr>
        <w:t xml:space="preserve">. The </w:t>
      </w:r>
      <w:proofErr w:type="spellStart"/>
      <w:r>
        <w:rPr>
          <w:rStyle w:val="Emphasis"/>
          <w:rFonts w:ascii="Times New Roman" w:hAnsi="Times New Roman" w:cs="Times New Roman"/>
          <w:b w:val="0"/>
          <w:color w:val="222222"/>
          <w:sz w:val="24"/>
          <w:szCs w:val="24"/>
        </w:rPr>
        <w:t>flyrock</w:t>
      </w:r>
      <w:proofErr w:type="spellEnd"/>
      <w:r>
        <w:rPr>
          <w:rStyle w:val="Emphasis"/>
          <w:rFonts w:ascii="Times New Roman" w:hAnsi="Times New Roman" w:cs="Times New Roman"/>
          <w:b w:val="0"/>
          <w:color w:val="222222"/>
          <w:sz w:val="24"/>
          <w:szCs w:val="24"/>
        </w:rPr>
        <w:t xml:space="preserve"> damaged cars and nearby structures</w:t>
      </w:r>
      <w:r w:rsidR="006F7AB7">
        <w:rPr>
          <w:rStyle w:val="Emphasis"/>
          <w:rFonts w:ascii="Times New Roman" w:hAnsi="Times New Roman" w:cs="Times New Roman"/>
          <w:b w:val="0"/>
          <w:color w:val="222222"/>
          <w:sz w:val="24"/>
          <w:szCs w:val="24"/>
        </w:rPr>
        <w:t xml:space="preserve"> but had no impact on the natural environment</w:t>
      </w:r>
      <w:r>
        <w:rPr>
          <w:rStyle w:val="Emphasis"/>
          <w:rFonts w:ascii="Times New Roman" w:hAnsi="Times New Roman" w:cs="Times New Roman"/>
          <w:b w:val="0"/>
          <w:color w:val="222222"/>
          <w:sz w:val="24"/>
          <w:szCs w:val="24"/>
        </w:rPr>
        <w:t xml:space="preserve">. </w:t>
      </w:r>
      <w:proofErr w:type="spellStart"/>
      <w:r>
        <w:rPr>
          <w:rStyle w:val="Emphasis"/>
          <w:rFonts w:ascii="Times New Roman" w:hAnsi="Times New Roman" w:cs="Times New Roman"/>
          <w:b w:val="0"/>
          <w:color w:val="222222"/>
          <w:sz w:val="24"/>
          <w:szCs w:val="24"/>
        </w:rPr>
        <w:t>Castonguay</w:t>
      </w:r>
      <w:proofErr w:type="spellEnd"/>
      <w:r>
        <w:rPr>
          <w:rStyle w:val="Emphasis"/>
          <w:rFonts w:ascii="Times New Roman" w:hAnsi="Times New Roman" w:cs="Times New Roman"/>
          <w:b w:val="0"/>
          <w:color w:val="222222"/>
          <w:sz w:val="24"/>
          <w:szCs w:val="24"/>
        </w:rPr>
        <w:t xml:space="preserve"> had </w:t>
      </w:r>
      <w:r w:rsidR="00193096">
        <w:rPr>
          <w:rStyle w:val="Emphasis"/>
          <w:rFonts w:ascii="Times New Roman" w:hAnsi="Times New Roman" w:cs="Times New Roman"/>
          <w:b w:val="0"/>
          <w:color w:val="222222"/>
          <w:sz w:val="24"/>
          <w:szCs w:val="24"/>
        </w:rPr>
        <w:t xml:space="preserve">compensated the victims and </w:t>
      </w:r>
      <w:r>
        <w:rPr>
          <w:rStyle w:val="Emphasis"/>
          <w:rFonts w:ascii="Times New Roman" w:hAnsi="Times New Roman" w:cs="Times New Roman"/>
          <w:b w:val="0"/>
          <w:color w:val="222222"/>
          <w:sz w:val="24"/>
          <w:szCs w:val="24"/>
        </w:rPr>
        <w:t>reported the incident to the Ministry of Transportation (</w:t>
      </w:r>
      <w:r w:rsidR="009A3F52">
        <w:rPr>
          <w:rStyle w:val="Emphasis"/>
          <w:rFonts w:ascii="Times New Roman" w:hAnsi="Times New Roman" w:cs="Times New Roman"/>
          <w:b w:val="0"/>
          <w:color w:val="222222"/>
          <w:sz w:val="24"/>
          <w:szCs w:val="24"/>
        </w:rPr>
        <w:t>in accordance with its contract with th</w:t>
      </w:r>
      <w:r w:rsidR="00C84D0F">
        <w:rPr>
          <w:rStyle w:val="Emphasis"/>
          <w:rFonts w:ascii="Times New Roman" w:hAnsi="Times New Roman" w:cs="Times New Roman"/>
          <w:b w:val="0"/>
          <w:color w:val="222222"/>
          <w:sz w:val="24"/>
          <w:szCs w:val="24"/>
        </w:rPr>
        <w:t>at</w:t>
      </w:r>
      <w:r w:rsidR="009A3F52">
        <w:rPr>
          <w:rStyle w:val="Emphasis"/>
          <w:rFonts w:ascii="Times New Roman" w:hAnsi="Times New Roman" w:cs="Times New Roman"/>
          <w:b w:val="0"/>
          <w:color w:val="222222"/>
          <w:sz w:val="24"/>
          <w:szCs w:val="24"/>
        </w:rPr>
        <w:t xml:space="preserve"> Ministry, for whom it was doing the blasting) an</w:t>
      </w:r>
      <w:r w:rsidR="00C92270">
        <w:rPr>
          <w:rStyle w:val="Emphasis"/>
          <w:rFonts w:ascii="Times New Roman" w:hAnsi="Times New Roman" w:cs="Times New Roman"/>
          <w:b w:val="0"/>
          <w:color w:val="222222"/>
          <w:sz w:val="24"/>
          <w:szCs w:val="24"/>
        </w:rPr>
        <w:t>d to the Ministry of Labour;</w:t>
      </w:r>
      <w:r w:rsidR="009A3F52">
        <w:rPr>
          <w:rStyle w:val="Emphasis"/>
          <w:rFonts w:ascii="Times New Roman" w:hAnsi="Times New Roman" w:cs="Times New Roman"/>
          <w:b w:val="0"/>
          <w:color w:val="222222"/>
          <w:sz w:val="24"/>
          <w:szCs w:val="24"/>
        </w:rPr>
        <w:t xml:space="preserve"> </w:t>
      </w:r>
      <w:r w:rsidR="001B2D8B">
        <w:rPr>
          <w:rStyle w:val="Emphasis"/>
          <w:rFonts w:ascii="Times New Roman" w:hAnsi="Times New Roman" w:cs="Times New Roman"/>
          <w:b w:val="0"/>
          <w:color w:val="222222"/>
          <w:sz w:val="24"/>
          <w:szCs w:val="24"/>
        </w:rPr>
        <w:t xml:space="preserve">however, </w:t>
      </w:r>
      <w:r w:rsidR="009A3F52">
        <w:rPr>
          <w:rStyle w:val="Emphasis"/>
          <w:rFonts w:ascii="Times New Roman" w:hAnsi="Times New Roman" w:cs="Times New Roman"/>
          <w:b w:val="0"/>
          <w:color w:val="222222"/>
          <w:sz w:val="24"/>
          <w:szCs w:val="24"/>
        </w:rPr>
        <w:t>no report was made to the MOE.</w:t>
      </w:r>
    </w:p>
    <w:p w:rsidR="009A3F52" w:rsidRDefault="009A3F52" w:rsidP="0009251A">
      <w:pPr>
        <w:jc w:val="both"/>
        <w:rPr>
          <w:rStyle w:val="Emphasis"/>
          <w:rFonts w:ascii="Times New Roman" w:hAnsi="Times New Roman" w:cs="Times New Roman"/>
          <w:b w:val="0"/>
          <w:color w:val="222222"/>
          <w:sz w:val="24"/>
          <w:szCs w:val="24"/>
        </w:rPr>
      </w:pPr>
    </w:p>
    <w:p w:rsidR="009A3F52" w:rsidRDefault="00F73BD8"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The</w:t>
      </w:r>
      <w:r w:rsidR="009A3F52">
        <w:rPr>
          <w:rStyle w:val="Emphasis"/>
          <w:rFonts w:ascii="Times New Roman" w:hAnsi="Times New Roman" w:cs="Times New Roman"/>
          <w:b w:val="0"/>
          <w:color w:val="222222"/>
          <w:sz w:val="24"/>
          <w:szCs w:val="24"/>
        </w:rPr>
        <w:t xml:space="preserve"> Supreme Court of Canada concluded that this was</w:t>
      </w:r>
      <w:r>
        <w:rPr>
          <w:rStyle w:val="Emphasis"/>
          <w:rFonts w:ascii="Times New Roman" w:hAnsi="Times New Roman" w:cs="Times New Roman"/>
          <w:b w:val="0"/>
          <w:color w:val="222222"/>
          <w:sz w:val="24"/>
          <w:szCs w:val="24"/>
        </w:rPr>
        <w:t>,</w:t>
      </w:r>
      <w:r w:rsidR="009A3F52">
        <w:rPr>
          <w:rStyle w:val="Emphasis"/>
          <w:rFonts w:ascii="Times New Roman" w:hAnsi="Times New Roman" w:cs="Times New Roman"/>
          <w:b w:val="0"/>
          <w:color w:val="222222"/>
          <w:sz w:val="24"/>
          <w:szCs w:val="24"/>
        </w:rPr>
        <w:t xml:space="preserve"> in fact</w:t>
      </w:r>
      <w:r>
        <w:rPr>
          <w:rStyle w:val="Emphasis"/>
          <w:rFonts w:ascii="Times New Roman" w:hAnsi="Times New Roman" w:cs="Times New Roman"/>
          <w:b w:val="0"/>
          <w:color w:val="222222"/>
          <w:sz w:val="24"/>
          <w:szCs w:val="24"/>
        </w:rPr>
        <w:t>, a reportable discharge</w:t>
      </w:r>
      <w:r w:rsidR="00C84D0F">
        <w:rPr>
          <w:rStyle w:val="Emphasis"/>
          <w:rFonts w:ascii="Times New Roman" w:hAnsi="Times New Roman" w:cs="Times New Roman"/>
          <w:b w:val="0"/>
          <w:color w:val="222222"/>
          <w:sz w:val="24"/>
          <w:szCs w:val="24"/>
        </w:rPr>
        <w:t>, because it flew through the outside air</w:t>
      </w:r>
      <w:r>
        <w:rPr>
          <w:rStyle w:val="Emphasis"/>
          <w:rFonts w:ascii="Times New Roman" w:hAnsi="Times New Roman" w:cs="Times New Roman"/>
          <w:b w:val="0"/>
          <w:color w:val="222222"/>
          <w:sz w:val="24"/>
          <w:szCs w:val="24"/>
        </w:rPr>
        <w:t>. The C</w:t>
      </w:r>
      <w:r w:rsidR="009A3F52">
        <w:rPr>
          <w:rStyle w:val="Emphasis"/>
          <w:rFonts w:ascii="Times New Roman" w:hAnsi="Times New Roman" w:cs="Times New Roman"/>
          <w:b w:val="0"/>
          <w:color w:val="222222"/>
          <w:sz w:val="24"/>
          <w:szCs w:val="24"/>
        </w:rPr>
        <w:t xml:space="preserve">ourt rejected </w:t>
      </w:r>
      <w:proofErr w:type="spellStart"/>
      <w:r w:rsidR="009A3F52">
        <w:rPr>
          <w:rStyle w:val="Emphasis"/>
          <w:rFonts w:ascii="Times New Roman" w:hAnsi="Times New Roman" w:cs="Times New Roman"/>
          <w:b w:val="0"/>
          <w:color w:val="222222"/>
          <w:sz w:val="24"/>
          <w:szCs w:val="24"/>
        </w:rPr>
        <w:t>Castonguay's</w:t>
      </w:r>
      <w:proofErr w:type="spellEnd"/>
      <w:r w:rsidR="009A3F52">
        <w:rPr>
          <w:rStyle w:val="Emphasis"/>
          <w:rFonts w:ascii="Times New Roman" w:hAnsi="Times New Roman" w:cs="Times New Roman"/>
          <w:b w:val="0"/>
          <w:color w:val="222222"/>
          <w:sz w:val="24"/>
          <w:szCs w:val="24"/>
        </w:rPr>
        <w:t xml:space="preserve"> argument that harm to the natural environment must be </w:t>
      </w:r>
      <w:r>
        <w:rPr>
          <w:rStyle w:val="Emphasis"/>
          <w:rFonts w:ascii="Times New Roman" w:hAnsi="Times New Roman" w:cs="Times New Roman"/>
          <w:b w:val="0"/>
          <w:color w:val="222222"/>
          <w:sz w:val="24"/>
          <w:szCs w:val="24"/>
        </w:rPr>
        <w:t>"</w:t>
      </w:r>
      <w:r w:rsidR="009A3F52">
        <w:rPr>
          <w:rStyle w:val="Emphasis"/>
          <w:rFonts w:ascii="Times New Roman" w:hAnsi="Times New Roman" w:cs="Times New Roman"/>
          <w:b w:val="0"/>
          <w:color w:val="222222"/>
          <w:sz w:val="24"/>
          <w:szCs w:val="24"/>
        </w:rPr>
        <w:t>non-trivial</w:t>
      </w:r>
      <w:r>
        <w:rPr>
          <w:rStyle w:val="Emphasis"/>
          <w:rFonts w:ascii="Times New Roman" w:hAnsi="Times New Roman" w:cs="Times New Roman"/>
          <w:b w:val="0"/>
          <w:color w:val="222222"/>
          <w:sz w:val="24"/>
          <w:szCs w:val="24"/>
        </w:rPr>
        <w:t>"</w:t>
      </w:r>
      <w:r w:rsidR="001B2D8B">
        <w:rPr>
          <w:rStyle w:val="Emphasis"/>
          <w:rFonts w:ascii="Times New Roman" w:hAnsi="Times New Roman" w:cs="Times New Roman"/>
          <w:b w:val="0"/>
          <w:color w:val="222222"/>
          <w:sz w:val="24"/>
          <w:szCs w:val="24"/>
        </w:rPr>
        <w:t>. The C</w:t>
      </w:r>
      <w:r w:rsidR="009A3F52">
        <w:rPr>
          <w:rStyle w:val="Emphasis"/>
          <w:rFonts w:ascii="Times New Roman" w:hAnsi="Times New Roman" w:cs="Times New Roman"/>
          <w:b w:val="0"/>
          <w:color w:val="222222"/>
          <w:sz w:val="24"/>
          <w:szCs w:val="24"/>
        </w:rPr>
        <w:t>ourt resisted any notion that would require proof of environmental impairment as a precondition to reporting. In short, "… when in doubt, report."</w:t>
      </w:r>
    </w:p>
    <w:p w:rsidR="00F73BD8" w:rsidRDefault="00F73BD8"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lastRenderedPageBreak/>
        <w:t xml:space="preserve">To many, </w:t>
      </w:r>
      <w:r w:rsidR="009A3F52">
        <w:rPr>
          <w:rStyle w:val="Emphasis"/>
          <w:rFonts w:ascii="Times New Roman" w:hAnsi="Times New Roman" w:cs="Times New Roman"/>
          <w:b w:val="0"/>
          <w:color w:val="222222"/>
          <w:sz w:val="24"/>
          <w:szCs w:val="24"/>
        </w:rPr>
        <w:t xml:space="preserve">airborne rock fragments would not come </w:t>
      </w:r>
      <w:r>
        <w:rPr>
          <w:rStyle w:val="Emphasis"/>
          <w:rFonts w:ascii="Times New Roman" w:hAnsi="Times New Roman" w:cs="Times New Roman"/>
          <w:b w:val="0"/>
          <w:color w:val="222222"/>
          <w:sz w:val="24"/>
          <w:szCs w:val="24"/>
        </w:rPr>
        <w:t xml:space="preserve">immediately </w:t>
      </w:r>
      <w:r w:rsidR="009A3F52">
        <w:rPr>
          <w:rStyle w:val="Emphasis"/>
          <w:rFonts w:ascii="Times New Roman" w:hAnsi="Times New Roman" w:cs="Times New Roman"/>
          <w:b w:val="0"/>
          <w:color w:val="222222"/>
          <w:sz w:val="24"/>
          <w:szCs w:val="24"/>
        </w:rPr>
        <w:t xml:space="preserve">to mind as "contamination". </w:t>
      </w:r>
      <w:r w:rsidR="00C84D0F">
        <w:rPr>
          <w:rStyle w:val="Emphasis"/>
          <w:rFonts w:ascii="Times New Roman" w:hAnsi="Times New Roman" w:cs="Times New Roman"/>
          <w:b w:val="0"/>
          <w:color w:val="222222"/>
          <w:sz w:val="24"/>
          <w:szCs w:val="24"/>
        </w:rPr>
        <w:t xml:space="preserve">There was no evidence that the MOE had given any prior warning to the blasting industry, or to the Ministry of Transportation, that the MOE wanted </w:t>
      </w:r>
      <w:proofErr w:type="spellStart"/>
      <w:r w:rsidR="00C84D0F">
        <w:rPr>
          <w:rStyle w:val="Emphasis"/>
          <w:rFonts w:ascii="Times New Roman" w:hAnsi="Times New Roman" w:cs="Times New Roman"/>
          <w:b w:val="0"/>
          <w:color w:val="222222"/>
          <w:sz w:val="24"/>
          <w:szCs w:val="24"/>
        </w:rPr>
        <w:t>flyrock</w:t>
      </w:r>
      <w:proofErr w:type="spellEnd"/>
      <w:r w:rsidR="00C84D0F">
        <w:rPr>
          <w:rStyle w:val="Emphasis"/>
          <w:rFonts w:ascii="Times New Roman" w:hAnsi="Times New Roman" w:cs="Times New Roman"/>
          <w:b w:val="0"/>
          <w:color w:val="222222"/>
          <w:sz w:val="24"/>
          <w:szCs w:val="24"/>
        </w:rPr>
        <w:t xml:space="preserve"> incidents reported to it. Nor was there any evidence that the MOE had any expertise or services to contribute to the response to </w:t>
      </w:r>
      <w:proofErr w:type="spellStart"/>
      <w:r w:rsidR="00C84D0F">
        <w:rPr>
          <w:rStyle w:val="Emphasis"/>
          <w:rFonts w:ascii="Times New Roman" w:hAnsi="Times New Roman" w:cs="Times New Roman"/>
          <w:b w:val="0"/>
          <w:color w:val="222222"/>
          <w:sz w:val="24"/>
          <w:szCs w:val="24"/>
        </w:rPr>
        <w:t>flyrock</w:t>
      </w:r>
      <w:proofErr w:type="spellEnd"/>
      <w:r w:rsidR="00C84D0F">
        <w:rPr>
          <w:rStyle w:val="Emphasis"/>
          <w:rFonts w:ascii="Times New Roman" w:hAnsi="Times New Roman" w:cs="Times New Roman"/>
          <w:b w:val="0"/>
          <w:color w:val="222222"/>
          <w:sz w:val="24"/>
          <w:szCs w:val="24"/>
        </w:rPr>
        <w:t xml:space="preserve"> incidents. </w:t>
      </w:r>
      <w:r w:rsidR="009A3F52">
        <w:rPr>
          <w:rStyle w:val="Emphasis"/>
          <w:rFonts w:ascii="Times New Roman" w:hAnsi="Times New Roman" w:cs="Times New Roman"/>
          <w:b w:val="0"/>
          <w:color w:val="222222"/>
          <w:sz w:val="24"/>
          <w:szCs w:val="24"/>
        </w:rPr>
        <w:t xml:space="preserve">Nonetheless, </w:t>
      </w:r>
      <w:r w:rsidR="00C84D0F">
        <w:rPr>
          <w:rStyle w:val="Emphasis"/>
          <w:rFonts w:ascii="Times New Roman" w:hAnsi="Times New Roman" w:cs="Times New Roman"/>
          <w:b w:val="0"/>
          <w:color w:val="222222"/>
          <w:sz w:val="24"/>
          <w:szCs w:val="24"/>
        </w:rPr>
        <w:t>the MOE has aggressively pursued</w:t>
      </w:r>
      <w:r w:rsidR="009A3F52">
        <w:rPr>
          <w:rStyle w:val="Emphasis"/>
          <w:rFonts w:ascii="Times New Roman" w:hAnsi="Times New Roman" w:cs="Times New Roman"/>
          <w:b w:val="0"/>
          <w:color w:val="222222"/>
          <w:sz w:val="24"/>
          <w:szCs w:val="24"/>
        </w:rPr>
        <w:t xml:space="preserve"> </w:t>
      </w:r>
      <w:proofErr w:type="spellStart"/>
      <w:r w:rsidR="009A3F52">
        <w:rPr>
          <w:rStyle w:val="Emphasis"/>
          <w:rFonts w:ascii="Times New Roman" w:hAnsi="Times New Roman" w:cs="Times New Roman"/>
          <w:b w:val="0"/>
          <w:color w:val="222222"/>
          <w:sz w:val="24"/>
          <w:szCs w:val="24"/>
        </w:rPr>
        <w:t>Castonguay</w:t>
      </w:r>
      <w:proofErr w:type="spellEnd"/>
      <w:r w:rsidR="009A3F52">
        <w:rPr>
          <w:rStyle w:val="Emphasis"/>
          <w:rFonts w:ascii="Times New Roman" w:hAnsi="Times New Roman" w:cs="Times New Roman"/>
          <w:b w:val="0"/>
          <w:color w:val="222222"/>
          <w:sz w:val="24"/>
          <w:szCs w:val="24"/>
        </w:rPr>
        <w:t xml:space="preserve">. On top of the $25,000 fine imposed in the reported case, </w:t>
      </w:r>
      <w:proofErr w:type="spellStart"/>
      <w:r w:rsidR="009A3F52">
        <w:rPr>
          <w:rStyle w:val="Emphasis"/>
          <w:rFonts w:ascii="Times New Roman" w:hAnsi="Times New Roman" w:cs="Times New Roman"/>
          <w:b w:val="0"/>
          <w:color w:val="222222"/>
          <w:sz w:val="24"/>
          <w:szCs w:val="24"/>
        </w:rPr>
        <w:t>Castonguay</w:t>
      </w:r>
      <w:proofErr w:type="spellEnd"/>
      <w:r w:rsidR="009A3F52">
        <w:rPr>
          <w:rStyle w:val="Emphasis"/>
          <w:rFonts w:ascii="Times New Roman" w:hAnsi="Times New Roman" w:cs="Times New Roman"/>
          <w:b w:val="0"/>
          <w:color w:val="222222"/>
          <w:sz w:val="24"/>
          <w:szCs w:val="24"/>
        </w:rPr>
        <w:t xml:space="preserve"> was </w:t>
      </w:r>
      <w:r w:rsidR="00C84D0F">
        <w:rPr>
          <w:rStyle w:val="Emphasis"/>
          <w:rFonts w:ascii="Times New Roman" w:hAnsi="Times New Roman" w:cs="Times New Roman"/>
          <w:b w:val="0"/>
          <w:color w:val="222222"/>
          <w:sz w:val="24"/>
          <w:szCs w:val="24"/>
        </w:rPr>
        <w:t xml:space="preserve">later </w:t>
      </w:r>
      <w:r w:rsidR="009A3F52">
        <w:rPr>
          <w:rStyle w:val="Emphasis"/>
          <w:rFonts w:ascii="Times New Roman" w:hAnsi="Times New Roman" w:cs="Times New Roman"/>
          <w:b w:val="0"/>
          <w:color w:val="222222"/>
          <w:sz w:val="24"/>
          <w:szCs w:val="24"/>
        </w:rPr>
        <w:t xml:space="preserve">fined $218,750 (including surcharge) for two </w:t>
      </w:r>
      <w:r w:rsidR="00976246">
        <w:rPr>
          <w:rStyle w:val="Emphasis"/>
          <w:rFonts w:ascii="Times New Roman" w:hAnsi="Times New Roman" w:cs="Times New Roman"/>
          <w:b w:val="0"/>
          <w:color w:val="222222"/>
          <w:sz w:val="24"/>
          <w:szCs w:val="24"/>
        </w:rPr>
        <w:t xml:space="preserve">similar </w:t>
      </w:r>
      <w:r w:rsidR="009A3F52">
        <w:rPr>
          <w:rStyle w:val="Emphasis"/>
          <w:rFonts w:ascii="Times New Roman" w:hAnsi="Times New Roman" w:cs="Times New Roman"/>
          <w:b w:val="0"/>
          <w:color w:val="222222"/>
          <w:sz w:val="24"/>
          <w:szCs w:val="24"/>
        </w:rPr>
        <w:t xml:space="preserve">incidents that took place in Sudbury in 2008. It was also </w:t>
      </w:r>
      <w:r w:rsidR="00976246">
        <w:rPr>
          <w:rStyle w:val="Emphasis"/>
          <w:rFonts w:ascii="Times New Roman" w:hAnsi="Times New Roman" w:cs="Times New Roman"/>
          <w:b w:val="0"/>
          <w:color w:val="222222"/>
          <w:sz w:val="24"/>
          <w:szCs w:val="24"/>
        </w:rPr>
        <w:t xml:space="preserve">fined </w:t>
      </w:r>
      <w:r w:rsidR="009A3F52">
        <w:rPr>
          <w:rStyle w:val="Emphasis"/>
          <w:rFonts w:ascii="Times New Roman" w:hAnsi="Times New Roman" w:cs="Times New Roman"/>
          <w:b w:val="0"/>
          <w:color w:val="222222"/>
          <w:sz w:val="24"/>
          <w:szCs w:val="24"/>
        </w:rPr>
        <w:t xml:space="preserve">$93,750 for an incident that took place in </w:t>
      </w:r>
      <w:proofErr w:type="spellStart"/>
      <w:r w:rsidR="009A3F52">
        <w:rPr>
          <w:rStyle w:val="Emphasis"/>
          <w:rFonts w:ascii="Times New Roman" w:hAnsi="Times New Roman" w:cs="Times New Roman"/>
          <w:b w:val="0"/>
          <w:color w:val="222222"/>
          <w:sz w:val="24"/>
          <w:szCs w:val="24"/>
        </w:rPr>
        <w:t>Magnetawan</w:t>
      </w:r>
      <w:proofErr w:type="spellEnd"/>
      <w:r w:rsidR="009A3F52">
        <w:rPr>
          <w:rStyle w:val="Emphasis"/>
          <w:rFonts w:ascii="Times New Roman" w:hAnsi="Times New Roman" w:cs="Times New Roman"/>
          <w:b w:val="0"/>
          <w:color w:val="222222"/>
          <w:sz w:val="24"/>
          <w:szCs w:val="24"/>
        </w:rPr>
        <w:t xml:space="preserve"> in 2010.</w:t>
      </w:r>
      <w:r w:rsidR="001B2D8B">
        <w:rPr>
          <w:rStyle w:val="Emphasis"/>
          <w:rFonts w:ascii="Times New Roman" w:hAnsi="Times New Roman" w:cs="Times New Roman"/>
          <w:b w:val="0"/>
          <w:color w:val="222222"/>
          <w:sz w:val="24"/>
          <w:szCs w:val="24"/>
        </w:rPr>
        <w:t xml:space="preserve"> Another blasting company, Austin Powder Ltd., was recently fined $130,000 for a fly rock discharge near </w:t>
      </w:r>
      <w:proofErr w:type="spellStart"/>
      <w:r w:rsidR="001B2D8B">
        <w:rPr>
          <w:rStyle w:val="Emphasis"/>
          <w:rFonts w:ascii="Times New Roman" w:hAnsi="Times New Roman" w:cs="Times New Roman"/>
          <w:b w:val="0"/>
          <w:color w:val="222222"/>
          <w:sz w:val="24"/>
          <w:szCs w:val="24"/>
        </w:rPr>
        <w:t>Arnprior</w:t>
      </w:r>
      <w:proofErr w:type="spellEnd"/>
      <w:r w:rsidR="001B2D8B">
        <w:rPr>
          <w:rStyle w:val="Emphasis"/>
          <w:rFonts w:ascii="Times New Roman" w:hAnsi="Times New Roman" w:cs="Times New Roman"/>
          <w:b w:val="0"/>
          <w:color w:val="222222"/>
          <w:sz w:val="24"/>
          <w:szCs w:val="24"/>
        </w:rPr>
        <w:t xml:space="preserve"> in 2009.</w:t>
      </w:r>
    </w:p>
    <w:p w:rsidR="001B2D8B" w:rsidRDefault="001B2D8B" w:rsidP="0009251A">
      <w:pPr>
        <w:jc w:val="both"/>
        <w:rPr>
          <w:rStyle w:val="Emphasis"/>
          <w:rFonts w:ascii="Times New Roman" w:hAnsi="Times New Roman" w:cs="Times New Roman"/>
          <w:b w:val="0"/>
          <w:color w:val="222222"/>
          <w:sz w:val="24"/>
          <w:szCs w:val="24"/>
        </w:rPr>
      </w:pPr>
    </w:p>
    <w:p w:rsidR="009A3F52" w:rsidRDefault="003363DD"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The panel will consider how this </w:t>
      </w:r>
      <w:r w:rsidR="00F73BD8">
        <w:rPr>
          <w:rStyle w:val="Emphasis"/>
          <w:rFonts w:ascii="Times New Roman" w:hAnsi="Times New Roman" w:cs="Times New Roman"/>
          <w:b w:val="0"/>
          <w:color w:val="222222"/>
          <w:sz w:val="24"/>
          <w:szCs w:val="24"/>
        </w:rPr>
        <w:t xml:space="preserve">case </w:t>
      </w:r>
      <w:r>
        <w:rPr>
          <w:rStyle w:val="Emphasis"/>
          <w:rFonts w:ascii="Times New Roman" w:hAnsi="Times New Roman" w:cs="Times New Roman"/>
          <w:b w:val="0"/>
          <w:color w:val="222222"/>
          <w:sz w:val="24"/>
          <w:szCs w:val="24"/>
        </w:rPr>
        <w:t xml:space="preserve">could affect municipal and other government actors in dealing with their reporting procedures. In addition, the panel will speculate on the extent to which a baseball breaking a window is now a reportable </w:t>
      </w:r>
      <w:r w:rsidR="006F7AB7">
        <w:rPr>
          <w:rStyle w:val="Emphasis"/>
          <w:rFonts w:ascii="Times New Roman" w:hAnsi="Times New Roman" w:cs="Times New Roman"/>
          <w:b w:val="0"/>
          <w:color w:val="222222"/>
          <w:sz w:val="24"/>
          <w:szCs w:val="24"/>
        </w:rPr>
        <w:t>discharge</w:t>
      </w:r>
      <w:r>
        <w:rPr>
          <w:rStyle w:val="Emphasis"/>
          <w:rFonts w:ascii="Times New Roman" w:hAnsi="Times New Roman" w:cs="Times New Roman"/>
          <w:b w:val="0"/>
          <w:color w:val="222222"/>
          <w:sz w:val="24"/>
          <w:szCs w:val="24"/>
        </w:rPr>
        <w:t xml:space="preserve"> (and other fun hypotheticals).</w:t>
      </w:r>
    </w:p>
    <w:p w:rsidR="00110804" w:rsidRDefault="00110804" w:rsidP="0009251A">
      <w:pPr>
        <w:jc w:val="both"/>
        <w:rPr>
          <w:rStyle w:val="Emphasis"/>
          <w:rFonts w:ascii="Times New Roman" w:hAnsi="Times New Roman" w:cs="Times New Roman"/>
          <w:b w:val="0"/>
          <w:color w:val="222222"/>
          <w:sz w:val="24"/>
          <w:szCs w:val="24"/>
        </w:rPr>
      </w:pPr>
    </w:p>
    <w:p w:rsidR="00110804" w:rsidRPr="007735E3" w:rsidRDefault="00110804" w:rsidP="0009251A">
      <w:pPr>
        <w:jc w:val="both"/>
        <w:rPr>
          <w:rStyle w:val="Emphasis"/>
          <w:rFonts w:ascii="Times New Roman" w:hAnsi="Times New Roman" w:cs="Times New Roman"/>
          <w:i/>
          <w:color w:val="222222"/>
          <w:sz w:val="24"/>
          <w:szCs w:val="24"/>
        </w:rPr>
      </w:pPr>
      <w:r w:rsidRPr="007735E3">
        <w:rPr>
          <w:rStyle w:val="Emphasis"/>
          <w:rFonts w:ascii="Times New Roman" w:hAnsi="Times New Roman" w:cs="Times New Roman"/>
          <w:i/>
          <w:color w:val="222222"/>
          <w:sz w:val="24"/>
          <w:szCs w:val="24"/>
        </w:rPr>
        <w:t>Liability Through Arbitration – Blue Box Costs Arbitration</w:t>
      </w:r>
    </w:p>
    <w:p w:rsidR="00110804" w:rsidRDefault="00110804" w:rsidP="0009251A">
      <w:pPr>
        <w:jc w:val="both"/>
        <w:rPr>
          <w:rStyle w:val="Emphasis"/>
          <w:rFonts w:ascii="Times New Roman" w:hAnsi="Times New Roman" w:cs="Times New Roman"/>
          <w:b w:val="0"/>
          <w:color w:val="222222"/>
          <w:sz w:val="24"/>
          <w:szCs w:val="24"/>
        </w:rPr>
      </w:pPr>
    </w:p>
    <w:p w:rsidR="00110804" w:rsidRDefault="00110804"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A battle </w:t>
      </w:r>
      <w:proofErr w:type="spellStart"/>
      <w:r>
        <w:rPr>
          <w:rStyle w:val="Emphasis"/>
          <w:rFonts w:ascii="Times New Roman" w:hAnsi="Times New Roman" w:cs="Times New Roman"/>
          <w:b w:val="0"/>
          <w:color w:val="222222"/>
          <w:sz w:val="24"/>
          <w:szCs w:val="24"/>
        </w:rPr>
        <w:t>royale</w:t>
      </w:r>
      <w:proofErr w:type="spellEnd"/>
      <w:r>
        <w:rPr>
          <w:rStyle w:val="Emphasis"/>
          <w:rFonts w:ascii="Times New Roman" w:hAnsi="Times New Roman" w:cs="Times New Roman"/>
          <w:b w:val="0"/>
          <w:color w:val="222222"/>
          <w:sz w:val="24"/>
          <w:szCs w:val="24"/>
        </w:rPr>
        <w:t xml:space="preserve"> is unfolding before an arbitrator as to the equitable distribution of the cost to run the blue box system in Ontario municipalities. </w:t>
      </w:r>
      <w:r w:rsidR="006F7AB7">
        <w:rPr>
          <w:rStyle w:val="Emphasis"/>
          <w:rFonts w:ascii="Times New Roman" w:hAnsi="Times New Roman" w:cs="Times New Roman"/>
          <w:b w:val="0"/>
          <w:color w:val="222222"/>
          <w:sz w:val="24"/>
          <w:szCs w:val="24"/>
        </w:rPr>
        <w:t>The</w:t>
      </w:r>
      <w:r>
        <w:rPr>
          <w:rStyle w:val="Emphasis"/>
          <w:rFonts w:ascii="Times New Roman" w:hAnsi="Times New Roman" w:cs="Times New Roman"/>
          <w:b w:val="0"/>
          <w:color w:val="222222"/>
          <w:sz w:val="24"/>
          <w:szCs w:val="24"/>
        </w:rPr>
        <w:t xml:space="preserve"> province requires municipalities to operate blue box systems</w:t>
      </w:r>
      <w:r w:rsidR="00FA50C7">
        <w:rPr>
          <w:rStyle w:val="Emphasis"/>
          <w:rFonts w:ascii="Times New Roman" w:hAnsi="Times New Roman" w:cs="Times New Roman"/>
          <w:b w:val="0"/>
          <w:color w:val="222222"/>
          <w:sz w:val="24"/>
          <w:szCs w:val="24"/>
        </w:rPr>
        <w:t>.</w:t>
      </w:r>
      <w:r w:rsidR="006F7AB7">
        <w:rPr>
          <w:rStyle w:val="FootnoteReference"/>
          <w:rFonts w:ascii="Times New Roman" w:hAnsi="Times New Roman" w:cs="Times New Roman"/>
          <w:bCs/>
          <w:color w:val="222222"/>
          <w:sz w:val="24"/>
          <w:szCs w:val="24"/>
        </w:rPr>
        <w:footnoteReference w:id="5"/>
      </w:r>
      <w:r>
        <w:rPr>
          <w:rStyle w:val="Emphasis"/>
          <w:rFonts w:ascii="Times New Roman" w:hAnsi="Times New Roman" w:cs="Times New Roman"/>
          <w:b w:val="0"/>
          <w:color w:val="222222"/>
          <w:sz w:val="24"/>
          <w:szCs w:val="24"/>
        </w:rPr>
        <w:t xml:space="preserve"> The industries that generate blue box waste are required to contribute to the cost of the system. That contribution is governed by s. 25 of the </w:t>
      </w:r>
      <w:r w:rsidRPr="00110804">
        <w:rPr>
          <w:rStyle w:val="Emphasis"/>
          <w:rFonts w:ascii="Times New Roman" w:hAnsi="Times New Roman" w:cs="Times New Roman"/>
          <w:b w:val="0"/>
          <w:i/>
          <w:color w:val="222222"/>
          <w:sz w:val="24"/>
          <w:szCs w:val="24"/>
        </w:rPr>
        <w:t>Waste Diversion Act</w:t>
      </w:r>
      <w:r w:rsidR="006F7AB7">
        <w:rPr>
          <w:rStyle w:val="Emphasis"/>
          <w:rFonts w:ascii="Times New Roman" w:hAnsi="Times New Roman" w:cs="Times New Roman"/>
          <w:b w:val="0"/>
          <w:i/>
          <w:color w:val="222222"/>
          <w:sz w:val="24"/>
          <w:szCs w:val="24"/>
        </w:rPr>
        <w:t>,</w:t>
      </w:r>
      <w:r w:rsidR="00536F95">
        <w:rPr>
          <w:rStyle w:val="Emphasis"/>
          <w:rFonts w:ascii="Times New Roman" w:hAnsi="Times New Roman" w:cs="Times New Roman"/>
          <w:b w:val="0"/>
          <w:color w:val="222222"/>
          <w:sz w:val="24"/>
          <w:szCs w:val="24"/>
        </w:rPr>
        <w:t xml:space="preserve"> </w:t>
      </w:r>
      <w:r w:rsidR="006F7AB7" w:rsidRPr="006F7AB7">
        <w:rPr>
          <w:rStyle w:val="Emphasis"/>
          <w:rFonts w:ascii="Times New Roman" w:hAnsi="Times New Roman" w:cs="Times New Roman"/>
          <w:b w:val="0"/>
          <w:i/>
          <w:color w:val="222222"/>
          <w:sz w:val="24"/>
          <w:szCs w:val="24"/>
        </w:rPr>
        <w:t>2002</w:t>
      </w:r>
      <w:r w:rsidR="006F7AB7" w:rsidRPr="00635682">
        <w:rPr>
          <w:rStyle w:val="FootnoteReference"/>
          <w:rFonts w:ascii="Times New Roman" w:hAnsi="Times New Roman" w:cs="Times New Roman"/>
          <w:bCs/>
          <w:color w:val="222222"/>
          <w:sz w:val="24"/>
          <w:szCs w:val="24"/>
        </w:rPr>
        <w:footnoteReference w:id="6"/>
      </w:r>
      <w:r w:rsidR="006F7AB7" w:rsidRPr="00635682">
        <w:rPr>
          <w:rStyle w:val="Emphasis"/>
          <w:rFonts w:ascii="Times New Roman" w:hAnsi="Times New Roman" w:cs="Times New Roman"/>
          <w:b w:val="0"/>
          <w:color w:val="222222"/>
          <w:sz w:val="24"/>
          <w:szCs w:val="24"/>
        </w:rPr>
        <w:t xml:space="preserve"> </w:t>
      </w:r>
      <w:r w:rsidR="00536F95">
        <w:rPr>
          <w:rStyle w:val="Emphasis"/>
          <w:rFonts w:ascii="Times New Roman" w:hAnsi="Times New Roman" w:cs="Times New Roman"/>
          <w:b w:val="0"/>
          <w:color w:val="222222"/>
          <w:sz w:val="24"/>
          <w:szCs w:val="24"/>
        </w:rPr>
        <w:t>("WDA")</w:t>
      </w:r>
      <w:r>
        <w:rPr>
          <w:rStyle w:val="Emphasis"/>
          <w:rFonts w:ascii="Times New Roman" w:hAnsi="Times New Roman" w:cs="Times New Roman"/>
          <w:b w:val="0"/>
          <w:color w:val="222222"/>
          <w:sz w:val="24"/>
          <w:szCs w:val="24"/>
        </w:rPr>
        <w:t>, which provides</w:t>
      </w:r>
      <w:r w:rsidR="00C92270">
        <w:rPr>
          <w:rStyle w:val="Emphasis"/>
          <w:rFonts w:ascii="Times New Roman" w:hAnsi="Times New Roman" w:cs="Times New Roman"/>
          <w:b w:val="0"/>
          <w:color w:val="222222"/>
          <w:sz w:val="24"/>
          <w:szCs w:val="24"/>
        </w:rPr>
        <w:t xml:space="preserve"> that municipalities receive "fifty per cent</w:t>
      </w:r>
      <w:r>
        <w:rPr>
          <w:rStyle w:val="Emphasis"/>
          <w:rFonts w:ascii="Times New Roman" w:hAnsi="Times New Roman" w:cs="Times New Roman"/>
          <w:b w:val="0"/>
          <w:color w:val="222222"/>
          <w:sz w:val="24"/>
          <w:szCs w:val="24"/>
        </w:rPr>
        <w:t xml:space="preserve"> of the total net costs incurred". "Total net costs</w:t>
      </w:r>
      <w:r w:rsidR="00976246">
        <w:rPr>
          <w:rStyle w:val="Emphasis"/>
          <w:rFonts w:ascii="Times New Roman" w:hAnsi="Times New Roman" w:cs="Times New Roman"/>
          <w:b w:val="0"/>
          <w:color w:val="222222"/>
          <w:sz w:val="24"/>
          <w:szCs w:val="24"/>
        </w:rPr>
        <w:t xml:space="preserve"> incurred</w:t>
      </w:r>
      <w:r>
        <w:rPr>
          <w:rStyle w:val="Emphasis"/>
          <w:rFonts w:ascii="Times New Roman" w:hAnsi="Times New Roman" w:cs="Times New Roman"/>
          <w:b w:val="0"/>
          <w:color w:val="222222"/>
          <w:sz w:val="24"/>
          <w:szCs w:val="24"/>
        </w:rPr>
        <w:t>" is not a defined term.</w:t>
      </w:r>
    </w:p>
    <w:p w:rsidR="006F7AB7" w:rsidRDefault="006F7AB7" w:rsidP="0009251A">
      <w:pPr>
        <w:jc w:val="both"/>
        <w:rPr>
          <w:rStyle w:val="Emphasis"/>
          <w:rFonts w:ascii="Times New Roman" w:hAnsi="Times New Roman" w:cs="Times New Roman"/>
          <w:b w:val="0"/>
          <w:color w:val="222222"/>
          <w:sz w:val="24"/>
          <w:szCs w:val="24"/>
        </w:rPr>
      </w:pPr>
    </w:p>
    <w:p w:rsidR="00E12827" w:rsidRDefault="00110804"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The Association of Municipalities of Ontario and the City of Toronto are advancing the position in the arbitration that net cost is arrived at simply by deducting revenues from the sale of collected materials from the </w:t>
      </w:r>
      <w:r w:rsidR="00E12827">
        <w:rPr>
          <w:rStyle w:val="Emphasis"/>
          <w:rFonts w:ascii="Times New Roman" w:hAnsi="Times New Roman" w:cs="Times New Roman"/>
          <w:b w:val="0"/>
          <w:color w:val="222222"/>
          <w:sz w:val="24"/>
          <w:szCs w:val="24"/>
        </w:rPr>
        <w:t xml:space="preserve">verified net </w:t>
      </w:r>
      <w:r>
        <w:rPr>
          <w:rStyle w:val="Emphasis"/>
          <w:rFonts w:ascii="Times New Roman" w:hAnsi="Times New Roman" w:cs="Times New Roman"/>
          <w:b w:val="0"/>
          <w:color w:val="222222"/>
          <w:sz w:val="24"/>
          <w:szCs w:val="24"/>
        </w:rPr>
        <w:t>cost</w:t>
      </w:r>
      <w:r w:rsidR="00E12827">
        <w:rPr>
          <w:rStyle w:val="Emphasis"/>
          <w:rFonts w:ascii="Times New Roman" w:hAnsi="Times New Roman" w:cs="Times New Roman"/>
          <w:b w:val="0"/>
          <w:color w:val="222222"/>
          <w:sz w:val="24"/>
          <w:szCs w:val="24"/>
        </w:rPr>
        <w:t>s that municipalities have incurred to divert Blue Box materials from landfill. Waste Diversion Ontario has verified the costs.</w:t>
      </w:r>
      <w:r>
        <w:rPr>
          <w:rStyle w:val="Emphasis"/>
          <w:rFonts w:ascii="Times New Roman" w:hAnsi="Times New Roman" w:cs="Times New Roman"/>
          <w:b w:val="0"/>
          <w:color w:val="222222"/>
          <w:sz w:val="24"/>
          <w:szCs w:val="24"/>
        </w:rPr>
        <w:t xml:space="preserve"> The industry group takes the position that a "cost containment</w:t>
      </w:r>
      <w:r w:rsidR="00976246">
        <w:rPr>
          <w:rStyle w:val="Emphasis"/>
          <w:rFonts w:ascii="Times New Roman" w:hAnsi="Times New Roman" w:cs="Times New Roman"/>
          <w:b w:val="0"/>
          <w:color w:val="222222"/>
          <w:sz w:val="24"/>
          <w:szCs w:val="24"/>
        </w:rPr>
        <w:t xml:space="preserve"> plan</w:t>
      </w:r>
      <w:r>
        <w:rPr>
          <w:rStyle w:val="Emphasis"/>
          <w:rFonts w:ascii="Times New Roman" w:hAnsi="Times New Roman" w:cs="Times New Roman"/>
          <w:b w:val="0"/>
          <w:color w:val="222222"/>
          <w:sz w:val="24"/>
          <w:szCs w:val="24"/>
        </w:rPr>
        <w:t xml:space="preserve">" approved by the Minister </w:t>
      </w:r>
      <w:r w:rsidR="00976246">
        <w:rPr>
          <w:rStyle w:val="Emphasis"/>
          <w:rFonts w:ascii="Times New Roman" w:hAnsi="Times New Roman" w:cs="Times New Roman"/>
          <w:b w:val="0"/>
          <w:color w:val="222222"/>
          <w:sz w:val="24"/>
          <w:szCs w:val="24"/>
        </w:rPr>
        <w:t>in 2005</w:t>
      </w:r>
      <w:r w:rsidR="006B74C9">
        <w:rPr>
          <w:rStyle w:val="Emphasis"/>
          <w:rFonts w:ascii="Times New Roman" w:hAnsi="Times New Roman" w:cs="Times New Roman"/>
          <w:b w:val="0"/>
          <w:color w:val="222222"/>
          <w:sz w:val="24"/>
          <w:szCs w:val="24"/>
        </w:rPr>
        <w:t xml:space="preserve"> </w:t>
      </w:r>
      <w:r>
        <w:rPr>
          <w:rStyle w:val="Emphasis"/>
          <w:rFonts w:ascii="Times New Roman" w:hAnsi="Times New Roman" w:cs="Times New Roman"/>
          <w:b w:val="0"/>
          <w:color w:val="222222"/>
          <w:sz w:val="24"/>
          <w:szCs w:val="24"/>
        </w:rPr>
        <w:t>caps industry liability at an amount that can be achieved using best practices</w:t>
      </w:r>
      <w:r w:rsidR="00976246">
        <w:rPr>
          <w:rStyle w:val="Emphasis"/>
          <w:rFonts w:ascii="Times New Roman" w:hAnsi="Times New Roman" w:cs="Times New Roman"/>
          <w:b w:val="0"/>
          <w:color w:val="222222"/>
          <w:sz w:val="24"/>
          <w:szCs w:val="24"/>
        </w:rPr>
        <w:t xml:space="preserve">, and </w:t>
      </w:r>
      <w:r w:rsidR="00E12827">
        <w:rPr>
          <w:rStyle w:val="Emphasis"/>
          <w:rFonts w:ascii="Times New Roman" w:hAnsi="Times New Roman" w:cs="Times New Roman"/>
          <w:b w:val="0"/>
          <w:color w:val="222222"/>
          <w:sz w:val="24"/>
          <w:szCs w:val="24"/>
        </w:rPr>
        <w:t>that this amount must be calculated</w:t>
      </w:r>
      <w:r w:rsidR="00976246">
        <w:rPr>
          <w:rStyle w:val="Emphasis"/>
          <w:rFonts w:ascii="Times New Roman" w:hAnsi="Times New Roman" w:cs="Times New Roman"/>
          <w:b w:val="0"/>
          <w:color w:val="222222"/>
          <w:sz w:val="24"/>
          <w:szCs w:val="24"/>
        </w:rPr>
        <w:t xml:space="preserve"> using a particular computer model</w:t>
      </w:r>
      <w:r>
        <w:rPr>
          <w:rStyle w:val="Emphasis"/>
          <w:rFonts w:ascii="Times New Roman" w:hAnsi="Times New Roman" w:cs="Times New Roman"/>
          <w:b w:val="0"/>
          <w:color w:val="222222"/>
          <w:sz w:val="24"/>
          <w:szCs w:val="24"/>
        </w:rPr>
        <w:t xml:space="preserve">. </w:t>
      </w:r>
      <w:r w:rsidR="00E12827">
        <w:rPr>
          <w:rStyle w:val="Emphasis"/>
          <w:rFonts w:ascii="Times New Roman" w:hAnsi="Times New Roman" w:cs="Times New Roman"/>
          <w:b w:val="0"/>
          <w:color w:val="222222"/>
          <w:sz w:val="24"/>
          <w:szCs w:val="24"/>
        </w:rPr>
        <w:t xml:space="preserve">Nothing in the WDA or any regulation </w:t>
      </w:r>
      <w:r>
        <w:rPr>
          <w:rStyle w:val="Emphasis"/>
          <w:rFonts w:ascii="Times New Roman" w:hAnsi="Times New Roman" w:cs="Times New Roman"/>
          <w:b w:val="0"/>
          <w:color w:val="222222"/>
          <w:sz w:val="24"/>
          <w:szCs w:val="24"/>
        </w:rPr>
        <w:t>mention</w:t>
      </w:r>
      <w:r w:rsidR="00E12827">
        <w:rPr>
          <w:rStyle w:val="Emphasis"/>
          <w:rFonts w:ascii="Times New Roman" w:hAnsi="Times New Roman" w:cs="Times New Roman"/>
          <w:b w:val="0"/>
          <w:color w:val="222222"/>
          <w:sz w:val="24"/>
          <w:szCs w:val="24"/>
        </w:rPr>
        <w:t>s</w:t>
      </w:r>
      <w:r>
        <w:rPr>
          <w:rStyle w:val="Emphasis"/>
          <w:rFonts w:ascii="Times New Roman" w:hAnsi="Times New Roman" w:cs="Times New Roman"/>
          <w:b w:val="0"/>
          <w:color w:val="222222"/>
          <w:sz w:val="24"/>
          <w:szCs w:val="24"/>
        </w:rPr>
        <w:t xml:space="preserve"> best practices</w:t>
      </w:r>
      <w:r w:rsidR="00E12827">
        <w:rPr>
          <w:rStyle w:val="Emphasis"/>
          <w:rFonts w:ascii="Times New Roman" w:hAnsi="Times New Roman" w:cs="Times New Roman"/>
          <w:b w:val="0"/>
          <w:color w:val="222222"/>
          <w:sz w:val="24"/>
          <w:szCs w:val="24"/>
        </w:rPr>
        <w:t>. Everything else is in dispute, except the fact that in several past years municipalities have agreed to accept millions less than a true 50% of verified reported costs, for those individual years. The cumulative shortfall for municipalities exceeds $60 million.</w:t>
      </w:r>
    </w:p>
    <w:p w:rsidR="00536F95" w:rsidRDefault="00536F95" w:rsidP="0009251A">
      <w:pPr>
        <w:jc w:val="both"/>
        <w:rPr>
          <w:rStyle w:val="Emphasis"/>
          <w:rFonts w:ascii="Times New Roman" w:hAnsi="Times New Roman" w:cs="Times New Roman"/>
          <w:b w:val="0"/>
          <w:color w:val="222222"/>
          <w:sz w:val="24"/>
          <w:szCs w:val="24"/>
        </w:rPr>
      </w:pPr>
    </w:p>
    <w:p w:rsidR="00536F95" w:rsidRDefault="00536F95" w:rsidP="0009251A">
      <w:pPr>
        <w:jc w:val="both"/>
        <w:rPr>
          <w:rStyle w:val="Emphasis"/>
          <w:rFonts w:ascii="Times New Roman" w:hAnsi="Times New Roman" w:cs="Times New Roman"/>
          <w:b w:val="0"/>
          <w:color w:val="222222"/>
          <w:sz w:val="24"/>
          <w:szCs w:val="24"/>
        </w:rPr>
      </w:pPr>
      <w:r>
        <w:rPr>
          <w:rStyle w:val="Emphasis"/>
          <w:rFonts w:ascii="Times New Roman" w:hAnsi="Times New Roman" w:cs="Times New Roman"/>
          <w:b w:val="0"/>
          <w:color w:val="222222"/>
          <w:sz w:val="24"/>
          <w:szCs w:val="24"/>
        </w:rPr>
        <w:t xml:space="preserve">The result could mean additional </w:t>
      </w:r>
      <w:r w:rsidR="00E12827">
        <w:rPr>
          <w:rStyle w:val="Emphasis"/>
          <w:rFonts w:ascii="Times New Roman" w:hAnsi="Times New Roman" w:cs="Times New Roman"/>
          <w:b w:val="0"/>
          <w:color w:val="222222"/>
          <w:sz w:val="24"/>
          <w:szCs w:val="24"/>
        </w:rPr>
        <w:t xml:space="preserve">funds </w:t>
      </w:r>
      <w:r>
        <w:rPr>
          <w:rStyle w:val="Emphasis"/>
          <w:rFonts w:ascii="Times New Roman" w:hAnsi="Times New Roman" w:cs="Times New Roman"/>
          <w:b w:val="0"/>
          <w:color w:val="222222"/>
          <w:sz w:val="24"/>
          <w:szCs w:val="24"/>
        </w:rPr>
        <w:t>of tens of millions of dollars to municipalities</w:t>
      </w:r>
      <w:r w:rsidR="00E12827">
        <w:rPr>
          <w:rStyle w:val="Emphasis"/>
          <w:rFonts w:ascii="Times New Roman" w:hAnsi="Times New Roman" w:cs="Times New Roman"/>
          <w:b w:val="0"/>
          <w:color w:val="222222"/>
          <w:sz w:val="24"/>
          <w:szCs w:val="24"/>
        </w:rPr>
        <w:t xml:space="preserve"> each year</w:t>
      </w:r>
      <w:r>
        <w:rPr>
          <w:rStyle w:val="Emphasis"/>
          <w:rFonts w:ascii="Times New Roman" w:hAnsi="Times New Roman" w:cs="Times New Roman"/>
          <w:b w:val="0"/>
          <w:color w:val="222222"/>
          <w:sz w:val="24"/>
          <w:szCs w:val="24"/>
        </w:rPr>
        <w:t>. The panel will provide an update on the arbitration.</w:t>
      </w:r>
    </w:p>
    <w:p w:rsidR="00536F95" w:rsidRDefault="00536F95" w:rsidP="0009251A">
      <w:pPr>
        <w:jc w:val="both"/>
        <w:rPr>
          <w:rStyle w:val="Emphasis"/>
          <w:rFonts w:ascii="Times New Roman" w:hAnsi="Times New Roman" w:cs="Times New Roman"/>
          <w:b w:val="0"/>
          <w:color w:val="222222"/>
          <w:sz w:val="24"/>
          <w:szCs w:val="24"/>
        </w:rPr>
      </w:pPr>
    </w:p>
    <w:p w:rsidR="00536F95" w:rsidRPr="007735E3" w:rsidRDefault="00536F95" w:rsidP="0009251A">
      <w:pPr>
        <w:jc w:val="both"/>
        <w:rPr>
          <w:rStyle w:val="Emphasis"/>
          <w:rFonts w:ascii="Times New Roman" w:hAnsi="Times New Roman" w:cs="Times New Roman"/>
          <w:i/>
          <w:color w:val="222222"/>
          <w:sz w:val="24"/>
          <w:szCs w:val="24"/>
        </w:rPr>
      </w:pPr>
      <w:r w:rsidRPr="007735E3">
        <w:rPr>
          <w:rStyle w:val="Emphasis"/>
          <w:rFonts w:ascii="Times New Roman" w:hAnsi="Times New Roman" w:cs="Times New Roman"/>
          <w:i/>
          <w:color w:val="222222"/>
          <w:sz w:val="24"/>
          <w:szCs w:val="24"/>
        </w:rPr>
        <w:t>Recent developments in tort law and environmental liability</w:t>
      </w:r>
    </w:p>
    <w:p w:rsidR="00536F95" w:rsidRDefault="00536F95" w:rsidP="0009251A">
      <w:pPr>
        <w:jc w:val="both"/>
        <w:rPr>
          <w:rStyle w:val="Emphasis"/>
          <w:rFonts w:ascii="Times New Roman" w:hAnsi="Times New Roman" w:cs="Times New Roman"/>
          <w:b w:val="0"/>
          <w:color w:val="222222"/>
          <w:sz w:val="24"/>
          <w:szCs w:val="24"/>
        </w:rPr>
      </w:pPr>
    </w:p>
    <w:p w:rsidR="00536F95" w:rsidRDefault="00536F95" w:rsidP="0009251A">
      <w:pPr>
        <w:jc w:val="both"/>
        <w:rPr>
          <w:rFonts w:ascii="Times New Roman" w:hAnsi="Times New Roman" w:cs="Times New Roman"/>
          <w:sz w:val="24"/>
          <w:szCs w:val="24"/>
        </w:rPr>
      </w:pPr>
      <w:r>
        <w:rPr>
          <w:rFonts w:ascii="Times New Roman" w:hAnsi="Times New Roman" w:cs="Times New Roman"/>
          <w:sz w:val="24"/>
          <w:szCs w:val="24"/>
        </w:rPr>
        <w:t>It was perhaps foreseeable that foreseeability has become a significant consideration, not only in negligence law, but in nuisance law as well.</w:t>
      </w:r>
      <w:r w:rsidR="006F7AB7">
        <w:rPr>
          <w:rFonts w:ascii="Times New Roman" w:hAnsi="Times New Roman" w:cs="Times New Roman"/>
          <w:sz w:val="24"/>
          <w:szCs w:val="24"/>
        </w:rPr>
        <w:t xml:space="preserve"> This is because many activities that took place long ago were not seen to be harmful at the time.</w:t>
      </w:r>
    </w:p>
    <w:p w:rsidR="00536F95" w:rsidRDefault="00536F95" w:rsidP="0009251A">
      <w:pPr>
        <w:jc w:val="both"/>
        <w:rPr>
          <w:rFonts w:ascii="Times New Roman" w:hAnsi="Times New Roman" w:cs="Times New Roman"/>
          <w:sz w:val="24"/>
          <w:szCs w:val="24"/>
        </w:rPr>
      </w:pPr>
    </w:p>
    <w:p w:rsidR="00536F95" w:rsidRDefault="00536F95" w:rsidP="000925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spellStart"/>
      <w:r w:rsidRPr="00536F95">
        <w:rPr>
          <w:rFonts w:ascii="Times New Roman" w:hAnsi="Times New Roman" w:cs="Times New Roman"/>
          <w:i/>
          <w:sz w:val="24"/>
          <w:szCs w:val="24"/>
        </w:rPr>
        <w:t>Berendsen</w:t>
      </w:r>
      <w:proofErr w:type="spellEnd"/>
      <w:r w:rsidRPr="00536F95">
        <w:rPr>
          <w:rFonts w:ascii="Times New Roman" w:hAnsi="Times New Roman" w:cs="Times New Roman"/>
          <w:i/>
          <w:sz w:val="24"/>
          <w:szCs w:val="24"/>
        </w:rPr>
        <w:t xml:space="preserve"> v. Ontario</w:t>
      </w:r>
      <w:r w:rsidR="00FA50C7">
        <w:rPr>
          <w:rFonts w:ascii="Times New Roman" w:hAnsi="Times New Roman" w:cs="Times New Roman"/>
          <w:i/>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issue was the effect of asphalt waste from highway repairs carried out fifty years ago. </w:t>
      </w:r>
      <w:r w:rsidR="006F7AB7">
        <w:rPr>
          <w:rFonts w:ascii="Times New Roman" w:hAnsi="Times New Roman" w:cs="Times New Roman"/>
          <w:sz w:val="24"/>
          <w:szCs w:val="24"/>
        </w:rPr>
        <w:t>Waste asphalt was buried o</w:t>
      </w:r>
      <w:r>
        <w:rPr>
          <w:rFonts w:ascii="Times New Roman" w:hAnsi="Times New Roman" w:cs="Times New Roman"/>
          <w:sz w:val="24"/>
          <w:szCs w:val="24"/>
        </w:rPr>
        <w:t xml:space="preserve">n farmland, with the agreement of the farmer. The plaintiff, a successor in title, experienced problems with </w:t>
      </w:r>
      <w:r w:rsidR="006F7AB7">
        <w:rPr>
          <w:rFonts w:ascii="Times New Roman" w:hAnsi="Times New Roman" w:cs="Times New Roman"/>
          <w:sz w:val="24"/>
          <w:szCs w:val="24"/>
        </w:rPr>
        <w:t>cows which would not drink well water from the farm. The plaintiffs attributed this to</w:t>
      </w:r>
      <w:r>
        <w:rPr>
          <w:rFonts w:ascii="Times New Roman" w:hAnsi="Times New Roman" w:cs="Times New Roman"/>
          <w:sz w:val="24"/>
          <w:szCs w:val="24"/>
        </w:rPr>
        <w:t xml:space="preserve"> water contamination caused by the asphalt waste.</w:t>
      </w:r>
    </w:p>
    <w:p w:rsidR="00536F95" w:rsidRDefault="00536F95" w:rsidP="0009251A">
      <w:pPr>
        <w:jc w:val="both"/>
        <w:rPr>
          <w:rFonts w:ascii="Times New Roman" w:hAnsi="Times New Roman" w:cs="Times New Roman"/>
          <w:sz w:val="24"/>
          <w:szCs w:val="24"/>
        </w:rPr>
      </w:pPr>
    </w:p>
    <w:p w:rsidR="00536F95" w:rsidRDefault="00536F95" w:rsidP="0009251A">
      <w:pPr>
        <w:jc w:val="both"/>
        <w:rPr>
          <w:rFonts w:ascii="Times New Roman" w:hAnsi="Times New Roman" w:cs="Times New Roman"/>
          <w:sz w:val="24"/>
          <w:szCs w:val="24"/>
        </w:rPr>
      </w:pPr>
      <w:r>
        <w:rPr>
          <w:rFonts w:ascii="Times New Roman" w:hAnsi="Times New Roman" w:cs="Times New Roman"/>
          <w:sz w:val="24"/>
          <w:szCs w:val="24"/>
        </w:rPr>
        <w:t xml:space="preserve">The case made it all the way to the Supreme Court of Canada in 2001 on the question of whether the action was barred by the six month limitation in the </w:t>
      </w:r>
      <w:r w:rsidRPr="00536F95">
        <w:rPr>
          <w:rFonts w:ascii="Times New Roman" w:hAnsi="Times New Roman" w:cs="Times New Roman"/>
          <w:i/>
          <w:sz w:val="24"/>
          <w:szCs w:val="24"/>
        </w:rPr>
        <w:t>Public Authorities Protection Act</w:t>
      </w:r>
      <w:r>
        <w:rPr>
          <w:rFonts w:ascii="Times New Roman" w:hAnsi="Times New Roman" w:cs="Times New Roman"/>
          <w:sz w:val="24"/>
          <w:szCs w:val="24"/>
        </w:rPr>
        <w:t>. The Supreme Court concluded that although the construction of the highway was a public act, the disposal of the asphalt waste was not</w:t>
      </w:r>
      <w:r w:rsidR="00193096">
        <w:rPr>
          <w:rFonts w:ascii="Times New Roman" w:hAnsi="Times New Roman" w:cs="Times New Roman"/>
          <w:sz w:val="24"/>
          <w:szCs w:val="24"/>
        </w:rPr>
        <w:t>,</w:t>
      </w:r>
      <w:r w:rsidR="00F43A99">
        <w:rPr>
          <w:rFonts w:ascii="Times New Roman" w:hAnsi="Times New Roman" w:cs="Times New Roman"/>
          <w:sz w:val="24"/>
          <w:szCs w:val="24"/>
        </w:rPr>
        <w:t xml:space="preserve"> and the shorter limitation period did not apply</w:t>
      </w:r>
      <w:r>
        <w:rPr>
          <w:rFonts w:ascii="Times New Roman" w:hAnsi="Times New Roman" w:cs="Times New Roman"/>
          <w:sz w:val="24"/>
          <w:szCs w:val="24"/>
        </w:rPr>
        <w:t>. The Court sent the matter back for a trial.</w:t>
      </w:r>
      <w:r>
        <w:rPr>
          <w:rStyle w:val="FootnoteReference"/>
          <w:rFonts w:ascii="Times New Roman" w:hAnsi="Times New Roman" w:cs="Times New Roman"/>
          <w:sz w:val="24"/>
          <w:szCs w:val="24"/>
        </w:rPr>
        <w:footnoteReference w:id="8"/>
      </w:r>
    </w:p>
    <w:p w:rsidR="00536F95" w:rsidRDefault="00536F95" w:rsidP="0009251A">
      <w:pPr>
        <w:jc w:val="both"/>
        <w:rPr>
          <w:rFonts w:ascii="Times New Roman" w:hAnsi="Times New Roman" w:cs="Times New Roman"/>
          <w:sz w:val="24"/>
          <w:szCs w:val="24"/>
        </w:rPr>
      </w:pPr>
    </w:p>
    <w:p w:rsidR="00536F95" w:rsidRDefault="001B2D8B" w:rsidP="0009251A">
      <w:pPr>
        <w:jc w:val="both"/>
        <w:rPr>
          <w:rFonts w:ascii="Times New Roman" w:hAnsi="Times New Roman" w:cs="Times New Roman"/>
          <w:sz w:val="24"/>
          <w:szCs w:val="24"/>
        </w:rPr>
      </w:pPr>
      <w:r>
        <w:rPr>
          <w:rFonts w:ascii="Times New Roman" w:hAnsi="Times New Roman" w:cs="Times New Roman"/>
          <w:sz w:val="24"/>
          <w:szCs w:val="24"/>
        </w:rPr>
        <w:t>The trial was</w:t>
      </w:r>
      <w:r w:rsidR="005D6AD2">
        <w:rPr>
          <w:rFonts w:ascii="Times New Roman" w:hAnsi="Times New Roman" w:cs="Times New Roman"/>
          <w:sz w:val="24"/>
          <w:szCs w:val="24"/>
        </w:rPr>
        <w:t xml:space="preserve"> held in 2008, concluding with </w:t>
      </w:r>
      <w:r>
        <w:rPr>
          <w:rFonts w:ascii="Times New Roman" w:hAnsi="Times New Roman" w:cs="Times New Roman"/>
          <w:sz w:val="24"/>
          <w:szCs w:val="24"/>
        </w:rPr>
        <w:t>a</w:t>
      </w:r>
      <w:r w:rsidR="005D6AD2">
        <w:rPr>
          <w:rFonts w:ascii="Times New Roman" w:hAnsi="Times New Roman" w:cs="Times New Roman"/>
          <w:sz w:val="24"/>
          <w:szCs w:val="24"/>
        </w:rPr>
        <w:t xml:space="preserve"> fi</w:t>
      </w:r>
      <w:r>
        <w:rPr>
          <w:rFonts w:ascii="Times New Roman" w:hAnsi="Times New Roman" w:cs="Times New Roman"/>
          <w:sz w:val="24"/>
          <w:szCs w:val="24"/>
        </w:rPr>
        <w:t>nding of liability against the P</w:t>
      </w:r>
      <w:r w:rsidR="005D6AD2">
        <w:rPr>
          <w:rFonts w:ascii="Times New Roman" w:hAnsi="Times New Roman" w:cs="Times New Roman"/>
          <w:sz w:val="24"/>
          <w:szCs w:val="24"/>
        </w:rPr>
        <w:t>rovince in the amount of $1.7 million</w:t>
      </w:r>
      <w:r>
        <w:rPr>
          <w:rFonts w:ascii="Times New Roman" w:hAnsi="Times New Roman" w:cs="Times New Roman"/>
          <w:sz w:val="24"/>
          <w:szCs w:val="24"/>
        </w:rPr>
        <w:t>, plus costs. The P</w:t>
      </w:r>
      <w:r w:rsidR="005D6AD2">
        <w:rPr>
          <w:rFonts w:ascii="Times New Roman" w:hAnsi="Times New Roman" w:cs="Times New Roman"/>
          <w:sz w:val="24"/>
          <w:szCs w:val="24"/>
        </w:rPr>
        <w:t xml:space="preserve">rovince appealed, and the Court of Appeal set aside the decision. The Court had significant concerns about proof of causation. Nonetheless, it based its decision to allow Ontario's appeal on its analysis of the applicable standard of care. The Court noted </w:t>
      </w:r>
      <w:r>
        <w:rPr>
          <w:rFonts w:ascii="Times New Roman" w:hAnsi="Times New Roman" w:cs="Times New Roman"/>
          <w:sz w:val="24"/>
          <w:szCs w:val="24"/>
        </w:rPr>
        <w:t xml:space="preserve">that </w:t>
      </w:r>
      <w:r w:rsidR="005D6AD2">
        <w:rPr>
          <w:rFonts w:ascii="Times New Roman" w:hAnsi="Times New Roman" w:cs="Times New Roman"/>
          <w:sz w:val="24"/>
          <w:szCs w:val="24"/>
        </w:rPr>
        <w:t>"foreseeability of harm is a crucial component"</w:t>
      </w:r>
      <w:r w:rsidR="00FA50C7">
        <w:rPr>
          <w:rFonts w:ascii="Times New Roman" w:hAnsi="Times New Roman" w:cs="Times New Roman"/>
          <w:sz w:val="24"/>
          <w:szCs w:val="24"/>
        </w:rPr>
        <w:t>.</w:t>
      </w:r>
      <w:r w:rsidR="005D6AD2">
        <w:rPr>
          <w:rStyle w:val="FootnoteReference"/>
          <w:rFonts w:ascii="Times New Roman" w:hAnsi="Times New Roman" w:cs="Times New Roman"/>
          <w:sz w:val="24"/>
          <w:szCs w:val="24"/>
        </w:rPr>
        <w:footnoteReference w:id="9"/>
      </w:r>
      <w:r w:rsidR="005D6AD2">
        <w:rPr>
          <w:rFonts w:ascii="Times New Roman" w:hAnsi="Times New Roman" w:cs="Times New Roman"/>
          <w:sz w:val="24"/>
          <w:szCs w:val="24"/>
        </w:rPr>
        <w:t xml:space="preserve"> The Court concluded that the </w:t>
      </w:r>
      <w:proofErr w:type="spellStart"/>
      <w:r w:rsidR="005D6AD2">
        <w:rPr>
          <w:rFonts w:ascii="Times New Roman" w:hAnsi="Times New Roman" w:cs="Times New Roman"/>
          <w:sz w:val="24"/>
          <w:szCs w:val="24"/>
        </w:rPr>
        <w:t>Berendsens</w:t>
      </w:r>
      <w:proofErr w:type="spellEnd"/>
      <w:r w:rsidR="005D6AD2">
        <w:rPr>
          <w:rFonts w:ascii="Times New Roman" w:hAnsi="Times New Roman" w:cs="Times New Roman"/>
          <w:sz w:val="24"/>
          <w:szCs w:val="24"/>
        </w:rPr>
        <w:t xml:space="preserve"> had not provided evidence to prove that, in 1960, when the </w:t>
      </w:r>
      <w:r>
        <w:rPr>
          <w:rFonts w:ascii="Times New Roman" w:hAnsi="Times New Roman" w:cs="Times New Roman"/>
          <w:sz w:val="24"/>
          <w:szCs w:val="24"/>
        </w:rPr>
        <w:t>asphalt</w:t>
      </w:r>
      <w:r w:rsidR="005D6AD2">
        <w:rPr>
          <w:rFonts w:ascii="Times New Roman" w:hAnsi="Times New Roman" w:cs="Times New Roman"/>
          <w:sz w:val="24"/>
          <w:szCs w:val="24"/>
        </w:rPr>
        <w:t xml:space="preserve"> was deposited, harm to cattle was a reasonably foreseeable risk. In fact, the Court concluded that the</w:t>
      </w:r>
      <w:r>
        <w:rPr>
          <w:rFonts w:ascii="Times New Roman" w:hAnsi="Times New Roman" w:cs="Times New Roman"/>
          <w:sz w:val="24"/>
          <w:szCs w:val="24"/>
        </w:rPr>
        <w:t xml:space="preserve"> evidence pointed the other way:</w:t>
      </w:r>
      <w:r w:rsidR="005D6AD2">
        <w:rPr>
          <w:rFonts w:ascii="Times New Roman" w:hAnsi="Times New Roman" w:cs="Times New Roman"/>
          <w:sz w:val="24"/>
          <w:szCs w:val="24"/>
        </w:rPr>
        <w:t xml:space="preserve"> that risk was not foreseeable at that time.</w:t>
      </w:r>
    </w:p>
    <w:p w:rsidR="005D6AD2" w:rsidRDefault="005D6AD2" w:rsidP="0009251A">
      <w:pPr>
        <w:jc w:val="both"/>
        <w:rPr>
          <w:rFonts w:ascii="Times New Roman" w:hAnsi="Times New Roman" w:cs="Times New Roman"/>
          <w:sz w:val="24"/>
          <w:szCs w:val="24"/>
        </w:rPr>
      </w:pPr>
    </w:p>
    <w:p w:rsidR="005D6AD2" w:rsidRDefault="005D6AD2" w:rsidP="0009251A">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Berendsens</w:t>
      </w:r>
      <w:proofErr w:type="spellEnd"/>
      <w:r>
        <w:rPr>
          <w:rFonts w:ascii="Times New Roman" w:hAnsi="Times New Roman" w:cs="Times New Roman"/>
          <w:sz w:val="24"/>
          <w:szCs w:val="24"/>
        </w:rPr>
        <w:t xml:space="preserve"> sought leave to appeal</w:t>
      </w:r>
      <w:r w:rsidR="001B2D8B">
        <w:rPr>
          <w:rFonts w:ascii="Times New Roman" w:hAnsi="Times New Roman" w:cs="Times New Roman"/>
          <w:sz w:val="24"/>
          <w:szCs w:val="24"/>
        </w:rPr>
        <w:t>,</w:t>
      </w:r>
      <w:r>
        <w:rPr>
          <w:rFonts w:ascii="Times New Roman" w:hAnsi="Times New Roman" w:cs="Times New Roman"/>
          <w:sz w:val="24"/>
          <w:szCs w:val="24"/>
        </w:rPr>
        <w:t xml:space="preserve"> and the Supreme Court of Canada granted their application; however, on the threshold of a second visit to the Supreme Court of Canada, the case settled.</w:t>
      </w:r>
    </w:p>
    <w:p w:rsidR="005D6AD2" w:rsidRDefault="005D6AD2" w:rsidP="0009251A">
      <w:pPr>
        <w:jc w:val="both"/>
        <w:rPr>
          <w:rFonts w:ascii="Times New Roman" w:hAnsi="Times New Roman" w:cs="Times New Roman"/>
          <w:sz w:val="24"/>
          <w:szCs w:val="24"/>
        </w:rPr>
      </w:pPr>
    </w:p>
    <w:p w:rsidR="005D6AD2" w:rsidRDefault="005D6AD2" w:rsidP="0009251A">
      <w:pPr>
        <w:jc w:val="both"/>
        <w:rPr>
          <w:rFonts w:ascii="Times New Roman" w:hAnsi="Times New Roman" w:cs="Times New Roman"/>
          <w:sz w:val="24"/>
          <w:szCs w:val="24"/>
        </w:rPr>
      </w:pPr>
      <w:r w:rsidRPr="005D6AD2">
        <w:rPr>
          <w:rFonts w:ascii="Times New Roman" w:hAnsi="Times New Roman" w:cs="Times New Roman"/>
          <w:i/>
          <w:sz w:val="24"/>
          <w:szCs w:val="24"/>
        </w:rPr>
        <w:t>Smith v. Inco</w:t>
      </w:r>
      <w:r w:rsidRPr="007735E3">
        <w:rPr>
          <w:rStyle w:val="FootnoteReference"/>
          <w:rFonts w:ascii="Times New Roman" w:hAnsi="Times New Roman" w:cs="Times New Roman"/>
          <w:sz w:val="24"/>
          <w:szCs w:val="24"/>
        </w:rPr>
        <w:footnoteReference w:id="10"/>
      </w:r>
      <w:r w:rsidRPr="007735E3">
        <w:rPr>
          <w:rFonts w:ascii="Times New Roman" w:hAnsi="Times New Roman" w:cs="Times New Roman"/>
          <w:sz w:val="24"/>
          <w:szCs w:val="24"/>
        </w:rPr>
        <w:t xml:space="preserve"> </w:t>
      </w:r>
      <w:r>
        <w:rPr>
          <w:rFonts w:ascii="Times New Roman" w:hAnsi="Times New Roman" w:cs="Times New Roman"/>
          <w:sz w:val="24"/>
          <w:szCs w:val="24"/>
        </w:rPr>
        <w:t xml:space="preserve">is another storied environmental case that went to the Court of Appeal </w:t>
      </w:r>
      <w:r w:rsidR="001B2D8B">
        <w:rPr>
          <w:rFonts w:ascii="Times New Roman" w:hAnsi="Times New Roman" w:cs="Times New Roman"/>
          <w:sz w:val="24"/>
          <w:szCs w:val="24"/>
        </w:rPr>
        <w:t xml:space="preserve">for Ontario </w:t>
      </w:r>
      <w:r w:rsidR="00056149">
        <w:rPr>
          <w:rFonts w:ascii="Times New Roman" w:hAnsi="Times New Roman" w:cs="Times New Roman"/>
          <w:sz w:val="24"/>
          <w:szCs w:val="24"/>
        </w:rPr>
        <w:t>–</w:t>
      </w:r>
      <w:r>
        <w:rPr>
          <w:rFonts w:ascii="Times New Roman" w:hAnsi="Times New Roman" w:cs="Times New Roman"/>
          <w:sz w:val="24"/>
          <w:szCs w:val="24"/>
        </w:rPr>
        <w:t xml:space="preserve"> twice</w:t>
      </w:r>
      <w:r w:rsidR="00056149">
        <w:rPr>
          <w:rFonts w:ascii="Times New Roman" w:hAnsi="Times New Roman" w:cs="Times New Roman"/>
          <w:sz w:val="24"/>
          <w:szCs w:val="24"/>
        </w:rPr>
        <w:t>.</w:t>
      </w:r>
      <w:r w:rsidR="00F43A99">
        <w:rPr>
          <w:rStyle w:val="FootnoteReference"/>
          <w:rFonts w:ascii="Times New Roman" w:hAnsi="Times New Roman" w:cs="Times New Roman"/>
          <w:sz w:val="24"/>
          <w:szCs w:val="24"/>
        </w:rPr>
        <w:footnoteReference w:id="11"/>
      </w:r>
    </w:p>
    <w:p w:rsidR="0054023E" w:rsidRDefault="0054023E" w:rsidP="0009251A">
      <w:pPr>
        <w:jc w:val="both"/>
        <w:rPr>
          <w:rFonts w:ascii="Times New Roman" w:hAnsi="Times New Roman" w:cs="Times New Roman"/>
          <w:sz w:val="24"/>
          <w:szCs w:val="24"/>
        </w:rPr>
      </w:pPr>
    </w:p>
    <w:p w:rsidR="0054023E" w:rsidRDefault="0054023E" w:rsidP="0009251A">
      <w:pPr>
        <w:jc w:val="both"/>
        <w:rPr>
          <w:rFonts w:ascii="Times New Roman" w:hAnsi="Times New Roman" w:cs="Times New Roman"/>
          <w:sz w:val="24"/>
          <w:szCs w:val="24"/>
        </w:rPr>
      </w:pPr>
      <w:r>
        <w:rPr>
          <w:rFonts w:ascii="Times New Roman" w:hAnsi="Times New Roman" w:cs="Times New Roman"/>
          <w:sz w:val="24"/>
          <w:szCs w:val="24"/>
        </w:rPr>
        <w:t xml:space="preserve">The case involved the contamination of soils around residences with nickel. Inco operated a nickel refinery at the site from 1918 to 1984. </w:t>
      </w:r>
      <w:r w:rsidR="00E12827">
        <w:rPr>
          <w:rFonts w:ascii="Times New Roman" w:hAnsi="Times New Roman" w:cs="Times New Roman"/>
          <w:sz w:val="24"/>
          <w:szCs w:val="24"/>
        </w:rPr>
        <w:t>Its emissions were never illegal or negligent, but they did deposit nickel on soil near the plant. After a Community Based Risk Assessment, t</w:t>
      </w:r>
      <w:r>
        <w:rPr>
          <w:rFonts w:ascii="Times New Roman" w:hAnsi="Times New Roman" w:cs="Times New Roman"/>
          <w:sz w:val="24"/>
          <w:szCs w:val="24"/>
        </w:rPr>
        <w:t xml:space="preserve">he MOE ordered Inco to remediate soils around </w:t>
      </w:r>
      <w:r w:rsidR="00E12827">
        <w:rPr>
          <w:rFonts w:ascii="Times New Roman" w:hAnsi="Times New Roman" w:cs="Times New Roman"/>
          <w:sz w:val="24"/>
          <w:szCs w:val="24"/>
        </w:rPr>
        <w:t xml:space="preserve">25 </w:t>
      </w:r>
      <w:r w:rsidR="00C001F3">
        <w:rPr>
          <w:rFonts w:ascii="Times New Roman" w:hAnsi="Times New Roman" w:cs="Times New Roman"/>
          <w:sz w:val="24"/>
          <w:szCs w:val="24"/>
        </w:rPr>
        <w:t>residences in 2002 (</w:t>
      </w:r>
      <w:r>
        <w:rPr>
          <w:rFonts w:ascii="Times New Roman" w:hAnsi="Times New Roman" w:cs="Times New Roman"/>
          <w:sz w:val="24"/>
          <w:szCs w:val="24"/>
        </w:rPr>
        <w:t>this was done, except on the property of the representative plaintiff in the case, w</w:t>
      </w:r>
      <w:r w:rsidR="00C001F3">
        <w:rPr>
          <w:rFonts w:ascii="Times New Roman" w:hAnsi="Times New Roman" w:cs="Times New Roman"/>
          <w:sz w:val="24"/>
          <w:szCs w:val="24"/>
        </w:rPr>
        <w:t>ho refused to allow remediation)</w:t>
      </w:r>
      <w:r>
        <w:rPr>
          <w:rFonts w:ascii="Times New Roman" w:hAnsi="Times New Roman" w:cs="Times New Roman"/>
          <w:sz w:val="24"/>
          <w:szCs w:val="24"/>
        </w:rPr>
        <w:t>.</w:t>
      </w:r>
    </w:p>
    <w:p w:rsidR="0054023E" w:rsidRDefault="0054023E" w:rsidP="0009251A">
      <w:pPr>
        <w:jc w:val="both"/>
        <w:rPr>
          <w:rFonts w:ascii="Times New Roman" w:hAnsi="Times New Roman" w:cs="Times New Roman"/>
          <w:sz w:val="24"/>
          <w:szCs w:val="24"/>
        </w:rPr>
      </w:pPr>
    </w:p>
    <w:p w:rsidR="0054023E" w:rsidRDefault="0054023E" w:rsidP="0009251A">
      <w:pPr>
        <w:jc w:val="both"/>
        <w:rPr>
          <w:rFonts w:ascii="Times New Roman" w:hAnsi="Times New Roman" w:cs="Times New Roman"/>
          <w:sz w:val="24"/>
          <w:szCs w:val="24"/>
        </w:rPr>
      </w:pPr>
      <w:r>
        <w:rPr>
          <w:rFonts w:ascii="Times New Roman" w:hAnsi="Times New Roman" w:cs="Times New Roman"/>
          <w:sz w:val="24"/>
          <w:szCs w:val="24"/>
        </w:rPr>
        <w:t>Initially, the case was advanced as a class proceeding for health impacts and property damage alleged to have been caused by the pollution. Certification was denied by the class proceeding judge, and that order was upheld by the Divisional Court; however, the Court of Appeal reversed. The class was certified by the Court of Appeal on the basis of property damage claims alone. The health related claims had been withdrawn. The matter was sent back to trial</w:t>
      </w:r>
      <w:r w:rsidR="001B2D8B">
        <w:rPr>
          <w:rFonts w:ascii="Times New Roman" w:hAnsi="Times New Roman" w:cs="Times New Roman"/>
          <w:sz w:val="24"/>
          <w:szCs w:val="24"/>
        </w:rPr>
        <w:t>,</w:t>
      </w:r>
      <w:r>
        <w:rPr>
          <w:rFonts w:ascii="Times New Roman" w:hAnsi="Times New Roman" w:cs="Times New Roman"/>
          <w:sz w:val="24"/>
          <w:szCs w:val="24"/>
        </w:rPr>
        <w:t xml:space="preserve"> </w:t>
      </w:r>
      <w:r w:rsidR="001B2D8B">
        <w:rPr>
          <w:rFonts w:ascii="Times New Roman" w:hAnsi="Times New Roman" w:cs="Times New Roman"/>
          <w:sz w:val="24"/>
          <w:szCs w:val="24"/>
        </w:rPr>
        <w:t>which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resulted in a decision awarding damages in the amount of $36 million based on private nuisance and strict liability (i.e. the rule in </w:t>
      </w:r>
      <w:proofErr w:type="spellStart"/>
      <w:r w:rsidRPr="0054023E">
        <w:rPr>
          <w:rFonts w:ascii="Times New Roman" w:hAnsi="Times New Roman" w:cs="Times New Roman"/>
          <w:i/>
          <w:sz w:val="24"/>
          <w:szCs w:val="24"/>
        </w:rPr>
        <w:t>Rylands</w:t>
      </w:r>
      <w:proofErr w:type="spellEnd"/>
      <w:r w:rsidRPr="0054023E">
        <w:rPr>
          <w:rFonts w:ascii="Times New Roman" w:hAnsi="Times New Roman" w:cs="Times New Roman"/>
          <w:i/>
          <w:sz w:val="24"/>
          <w:szCs w:val="24"/>
        </w:rPr>
        <w:t xml:space="preserve"> v. Fletcher</w:t>
      </w:r>
      <w:r>
        <w:rPr>
          <w:rFonts w:ascii="Times New Roman" w:hAnsi="Times New Roman" w:cs="Times New Roman"/>
          <w:sz w:val="24"/>
          <w:szCs w:val="24"/>
        </w:rPr>
        <w:t>).</w:t>
      </w:r>
    </w:p>
    <w:p w:rsidR="0054023E" w:rsidRDefault="0054023E" w:rsidP="0009251A">
      <w:pPr>
        <w:jc w:val="both"/>
        <w:rPr>
          <w:rFonts w:ascii="Times New Roman" w:hAnsi="Times New Roman" w:cs="Times New Roman"/>
          <w:sz w:val="24"/>
          <w:szCs w:val="24"/>
        </w:rPr>
      </w:pPr>
    </w:p>
    <w:p w:rsidR="0054023E" w:rsidRDefault="0054023E" w:rsidP="0009251A">
      <w:pPr>
        <w:jc w:val="both"/>
        <w:rPr>
          <w:rFonts w:ascii="Times New Roman" w:hAnsi="Times New Roman" w:cs="Times New Roman"/>
          <w:sz w:val="24"/>
          <w:szCs w:val="24"/>
        </w:rPr>
      </w:pPr>
      <w:r>
        <w:rPr>
          <w:rFonts w:ascii="Times New Roman" w:hAnsi="Times New Roman" w:cs="Times New Roman"/>
          <w:sz w:val="24"/>
          <w:szCs w:val="24"/>
        </w:rPr>
        <w:t>Inco appealed. Once again, the Court of Appeal reversed</w:t>
      </w:r>
      <w:r w:rsidR="00E12827">
        <w:rPr>
          <w:rFonts w:ascii="Times New Roman" w:hAnsi="Times New Roman" w:cs="Times New Roman"/>
          <w:sz w:val="24"/>
          <w:szCs w:val="24"/>
        </w:rPr>
        <w:t>,</w:t>
      </w:r>
      <w:r w:rsidR="00FA50C7">
        <w:rPr>
          <w:rFonts w:ascii="Times New Roman" w:hAnsi="Times New Roman" w:cs="Times New Roman"/>
          <w:sz w:val="24"/>
          <w:szCs w:val="24"/>
        </w:rPr>
        <w:t xml:space="preserve"> t</w:t>
      </w:r>
      <w:r w:rsidR="00D27C17">
        <w:rPr>
          <w:rFonts w:ascii="Times New Roman" w:hAnsi="Times New Roman" w:cs="Times New Roman"/>
          <w:sz w:val="24"/>
          <w:szCs w:val="24"/>
        </w:rPr>
        <w:t>his time in Inco's favour. The C</w:t>
      </w:r>
      <w:r>
        <w:rPr>
          <w:rFonts w:ascii="Times New Roman" w:hAnsi="Times New Roman" w:cs="Times New Roman"/>
          <w:sz w:val="24"/>
          <w:szCs w:val="24"/>
        </w:rPr>
        <w:t>ourt concluded that the trial judge had erred in f</w:t>
      </w:r>
      <w:r w:rsidR="00D27C17">
        <w:rPr>
          <w:rFonts w:ascii="Times New Roman" w:hAnsi="Times New Roman" w:cs="Times New Roman"/>
          <w:sz w:val="24"/>
          <w:szCs w:val="24"/>
        </w:rPr>
        <w:t>inding a private nuisance. The C</w:t>
      </w:r>
      <w:r>
        <w:rPr>
          <w:rFonts w:ascii="Times New Roman" w:hAnsi="Times New Roman" w:cs="Times New Roman"/>
          <w:sz w:val="24"/>
          <w:szCs w:val="24"/>
        </w:rPr>
        <w:t>ourt concluded that nuisance requires physical harm or damage to property</w:t>
      </w:r>
      <w:r w:rsidR="001B2D8B">
        <w:rPr>
          <w:rFonts w:ascii="Times New Roman" w:hAnsi="Times New Roman" w:cs="Times New Roman"/>
          <w:sz w:val="24"/>
          <w:szCs w:val="24"/>
        </w:rPr>
        <w:t>,</w:t>
      </w:r>
      <w:r>
        <w:rPr>
          <w:rFonts w:ascii="Times New Roman" w:hAnsi="Times New Roman" w:cs="Times New Roman"/>
          <w:sz w:val="24"/>
          <w:szCs w:val="24"/>
        </w:rPr>
        <w:t xml:space="preserve"> and that there was no evidence to substantiate that. The mere presence of </w:t>
      </w:r>
      <w:r w:rsidR="00E12827">
        <w:rPr>
          <w:rFonts w:ascii="Times New Roman" w:hAnsi="Times New Roman" w:cs="Times New Roman"/>
          <w:sz w:val="24"/>
          <w:szCs w:val="24"/>
        </w:rPr>
        <w:t xml:space="preserve">metals in the soil </w:t>
      </w:r>
      <w:r>
        <w:rPr>
          <w:rFonts w:ascii="Times New Roman" w:hAnsi="Times New Roman" w:cs="Times New Roman"/>
          <w:sz w:val="24"/>
          <w:szCs w:val="24"/>
        </w:rPr>
        <w:t xml:space="preserve">would not suffice, even </w:t>
      </w:r>
      <w:r w:rsidR="00E12827">
        <w:rPr>
          <w:rFonts w:ascii="Times New Roman" w:hAnsi="Times New Roman" w:cs="Times New Roman"/>
          <w:sz w:val="24"/>
          <w:szCs w:val="24"/>
        </w:rPr>
        <w:t xml:space="preserve">at levels higher than MOE generic criteria, and whether or not </w:t>
      </w:r>
      <w:r>
        <w:rPr>
          <w:rFonts w:ascii="Times New Roman" w:hAnsi="Times New Roman" w:cs="Times New Roman"/>
          <w:sz w:val="24"/>
          <w:szCs w:val="24"/>
        </w:rPr>
        <w:t>it generated concerns among neighbours</w:t>
      </w:r>
      <w:r w:rsidR="00E12827">
        <w:rPr>
          <w:rFonts w:ascii="Times New Roman" w:hAnsi="Times New Roman" w:cs="Times New Roman"/>
          <w:sz w:val="24"/>
          <w:szCs w:val="24"/>
        </w:rPr>
        <w:t xml:space="preserve">, unless there </w:t>
      </w:r>
      <w:r w:rsidR="000302BF">
        <w:rPr>
          <w:rFonts w:ascii="Times New Roman" w:hAnsi="Times New Roman" w:cs="Times New Roman"/>
          <w:sz w:val="24"/>
          <w:szCs w:val="24"/>
        </w:rPr>
        <w:t>was</w:t>
      </w:r>
      <w:r w:rsidR="00E12827">
        <w:rPr>
          <w:rFonts w:ascii="Times New Roman" w:hAnsi="Times New Roman" w:cs="Times New Roman"/>
          <w:sz w:val="24"/>
          <w:szCs w:val="24"/>
        </w:rPr>
        <w:t xml:space="preserve"> evidence that the metals were dangerous to human health, or otherwise prevented the residents from occupying their homes</w:t>
      </w:r>
      <w:r>
        <w:rPr>
          <w:rFonts w:ascii="Times New Roman" w:hAnsi="Times New Roman" w:cs="Times New Roman"/>
          <w:sz w:val="24"/>
          <w:szCs w:val="24"/>
        </w:rPr>
        <w:t>.</w:t>
      </w:r>
    </w:p>
    <w:p w:rsidR="0054023E" w:rsidRDefault="0054023E" w:rsidP="0009251A">
      <w:pPr>
        <w:jc w:val="both"/>
        <w:rPr>
          <w:rFonts w:ascii="Times New Roman" w:hAnsi="Times New Roman" w:cs="Times New Roman"/>
          <w:sz w:val="24"/>
          <w:szCs w:val="24"/>
        </w:rPr>
      </w:pPr>
    </w:p>
    <w:p w:rsidR="0054023E" w:rsidRDefault="00D27C17" w:rsidP="0009251A">
      <w:pPr>
        <w:jc w:val="both"/>
        <w:rPr>
          <w:rFonts w:ascii="Times New Roman" w:hAnsi="Times New Roman" w:cs="Times New Roman"/>
          <w:sz w:val="24"/>
          <w:szCs w:val="24"/>
        </w:rPr>
      </w:pPr>
      <w:r>
        <w:rPr>
          <w:rFonts w:ascii="Times New Roman" w:hAnsi="Times New Roman" w:cs="Times New Roman"/>
          <w:sz w:val="24"/>
          <w:szCs w:val="24"/>
        </w:rPr>
        <w:t>The C</w:t>
      </w:r>
      <w:r w:rsidR="0054023E">
        <w:rPr>
          <w:rFonts w:ascii="Times New Roman" w:hAnsi="Times New Roman" w:cs="Times New Roman"/>
          <w:sz w:val="24"/>
          <w:szCs w:val="24"/>
        </w:rPr>
        <w:t>ourt also concluded that the trial judge had erred in finding strict liability. This tort traditionally applies to "non-natural</w:t>
      </w:r>
      <w:r>
        <w:rPr>
          <w:rFonts w:ascii="Times New Roman" w:hAnsi="Times New Roman" w:cs="Times New Roman"/>
          <w:sz w:val="24"/>
          <w:szCs w:val="24"/>
        </w:rPr>
        <w:t>" land use. The C</w:t>
      </w:r>
      <w:r w:rsidR="0054023E">
        <w:rPr>
          <w:rFonts w:ascii="Times New Roman" w:hAnsi="Times New Roman" w:cs="Times New Roman"/>
          <w:sz w:val="24"/>
          <w:szCs w:val="24"/>
        </w:rPr>
        <w:t xml:space="preserve">ourt noted that the </w:t>
      </w:r>
      <w:r w:rsidR="00E12827">
        <w:rPr>
          <w:rFonts w:ascii="Times New Roman" w:hAnsi="Times New Roman" w:cs="Times New Roman"/>
          <w:sz w:val="24"/>
          <w:szCs w:val="24"/>
        </w:rPr>
        <w:t xml:space="preserve">non-negligent </w:t>
      </w:r>
      <w:r w:rsidR="0054023E">
        <w:rPr>
          <w:rFonts w:ascii="Times New Roman" w:hAnsi="Times New Roman" w:cs="Times New Roman"/>
          <w:sz w:val="24"/>
          <w:szCs w:val="24"/>
        </w:rPr>
        <w:t>operation of a refinery in a</w:t>
      </w:r>
      <w:r w:rsidR="00E12827">
        <w:rPr>
          <w:rFonts w:ascii="Times New Roman" w:hAnsi="Times New Roman" w:cs="Times New Roman"/>
          <w:sz w:val="24"/>
          <w:szCs w:val="24"/>
        </w:rPr>
        <w:t xml:space="preserve"> properly zoned,</w:t>
      </w:r>
      <w:r w:rsidR="0054023E">
        <w:rPr>
          <w:rFonts w:ascii="Times New Roman" w:hAnsi="Times New Roman" w:cs="Times New Roman"/>
          <w:sz w:val="24"/>
          <w:szCs w:val="24"/>
        </w:rPr>
        <w:t xml:space="preserve"> heavily industrialized area was not "non-natural". It was ordinary, and did not create a risk beyond </w:t>
      </w:r>
      <w:proofErr w:type="gramStart"/>
      <w:r w:rsidR="0054023E">
        <w:rPr>
          <w:rFonts w:ascii="Times New Roman" w:hAnsi="Times New Roman" w:cs="Times New Roman"/>
          <w:sz w:val="24"/>
          <w:szCs w:val="24"/>
        </w:rPr>
        <w:t>those incidental</w:t>
      </w:r>
      <w:proofErr w:type="gramEnd"/>
      <w:r w:rsidR="0054023E">
        <w:rPr>
          <w:rFonts w:ascii="Times New Roman" w:hAnsi="Times New Roman" w:cs="Times New Roman"/>
          <w:sz w:val="24"/>
          <w:szCs w:val="24"/>
        </w:rPr>
        <w:t xml:space="preserve"> to virtually any industrial operation.</w:t>
      </w:r>
      <w:r w:rsidR="00E12827">
        <w:rPr>
          <w:rFonts w:ascii="Times New Roman" w:hAnsi="Times New Roman" w:cs="Times New Roman"/>
          <w:sz w:val="24"/>
          <w:szCs w:val="24"/>
        </w:rPr>
        <w:t xml:space="preserve"> Finally, the Court ruled that there was no proof that the nickel had caused any loss in property value. The Supreme Court of Canada refused leave to appeal.</w:t>
      </w:r>
    </w:p>
    <w:p w:rsidR="0054023E" w:rsidRDefault="0054023E" w:rsidP="0009251A">
      <w:pPr>
        <w:jc w:val="both"/>
        <w:rPr>
          <w:rFonts w:ascii="Times New Roman" w:hAnsi="Times New Roman" w:cs="Times New Roman"/>
          <w:sz w:val="24"/>
          <w:szCs w:val="24"/>
        </w:rPr>
      </w:pPr>
    </w:p>
    <w:p w:rsidR="0054023E" w:rsidRDefault="0054023E" w:rsidP="0009251A">
      <w:pPr>
        <w:jc w:val="both"/>
        <w:rPr>
          <w:rFonts w:ascii="Times New Roman" w:hAnsi="Times New Roman" w:cs="Times New Roman"/>
          <w:sz w:val="24"/>
          <w:szCs w:val="24"/>
        </w:rPr>
      </w:pPr>
      <w:r>
        <w:rPr>
          <w:rFonts w:ascii="Times New Roman" w:hAnsi="Times New Roman" w:cs="Times New Roman"/>
          <w:sz w:val="24"/>
          <w:szCs w:val="24"/>
        </w:rPr>
        <w:t xml:space="preserve">The Nova Scotia Court of Appeal has recently weighed in on these issues in </w:t>
      </w:r>
      <w:r w:rsidR="001B2D8B">
        <w:rPr>
          <w:rFonts w:ascii="Times New Roman" w:hAnsi="Times New Roman" w:cs="Times New Roman"/>
          <w:i/>
          <w:sz w:val="24"/>
          <w:szCs w:val="24"/>
        </w:rPr>
        <w:t xml:space="preserve">Sydney Steel Corporation v. </w:t>
      </w:r>
      <w:proofErr w:type="spellStart"/>
      <w:r w:rsidR="001B2D8B">
        <w:rPr>
          <w:rFonts w:ascii="Times New Roman" w:hAnsi="Times New Roman" w:cs="Times New Roman"/>
          <w:i/>
          <w:sz w:val="24"/>
          <w:szCs w:val="24"/>
        </w:rPr>
        <w:t>MacQ</w:t>
      </w:r>
      <w:r w:rsidRPr="00ED7990">
        <w:rPr>
          <w:rFonts w:ascii="Times New Roman" w:hAnsi="Times New Roman" w:cs="Times New Roman"/>
          <w:i/>
          <w:sz w:val="24"/>
          <w:szCs w:val="24"/>
        </w:rPr>
        <w:t>ueen</w:t>
      </w:r>
      <w:proofErr w:type="spellEnd"/>
      <w:r w:rsidR="00056149">
        <w:rPr>
          <w:rFonts w:ascii="Times New Roman" w:hAnsi="Times New Roman" w:cs="Times New Roman"/>
          <w:i/>
          <w:sz w:val="24"/>
          <w:szCs w:val="24"/>
        </w:rPr>
        <w:t>.</w:t>
      </w:r>
      <w:r>
        <w:rPr>
          <w:rStyle w:val="FootnoteReference"/>
          <w:rFonts w:ascii="Times New Roman" w:hAnsi="Times New Roman" w:cs="Times New Roman"/>
          <w:sz w:val="24"/>
          <w:szCs w:val="24"/>
        </w:rPr>
        <w:footnoteReference w:id="12"/>
      </w:r>
    </w:p>
    <w:p w:rsidR="001B2D8B" w:rsidRDefault="001B2D8B" w:rsidP="0009251A">
      <w:pPr>
        <w:jc w:val="both"/>
        <w:rPr>
          <w:rFonts w:ascii="Times New Roman" w:hAnsi="Times New Roman" w:cs="Times New Roman"/>
          <w:sz w:val="24"/>
          <w:szCs w:val="24"/>
        </w:rPr>
      </w:pPr>
    </w:p>
    <w:p w:rsidR="001B2D8B" w:rsidRDefault="001B2D8B" w:rsidP="0009251A">
      <w:pPr>
        <w:jc w:val="both"/>
        <w:rPr>
          <w:rFonts w:ascii="Times New Roman" w:hAnsi="Times New Roman" w:cs="Times New Roman"/>
          <w:sz w:val="24"/>
          <w:szCs w:val="24"/>
        </w:rPr>
      </w:pPr>
      <w:r>
        <w:rPr>
          <w:rFonts w:ascii="Times New Roman" w:hAnsi="Times New Roman" w:cs="Times New Roman"/>
          <w:sz w:val="24"/>
          <w:szCs w:val="24"/>
        </w:rPr>
        <w:t xml:space="preserve">This case was a class proceeding </w:t>
      </w:r>
      <w:r w:rsidR="00CF072B">
        <w:rPr>
          <w:rFonts w:ascii="Times New Roman" w:hAnsi="Times New Roman" w:cs="Times New Roman"/>
          <w:sz w:val="24"/>
          <w:szCs w:val="24"/>
        </w:rPr>
        <w:t xml:space="preserve">against the federal and provincial governments, </w:t>
      </w:r>
      <w:r>
        <w:rPr>
          <w:rFonts w:ascii="Times New Roman" w:hAnsi="Times New Roman" w:cs="Times New Roman"/>
          <w:sz w:val="24"/>
          <w:szCs w:val="24"/>
        </w:rPr>
        <w:t xml:space="preserve">which involved </w:t>
      </w:r>
      <w:r w:rsidR="00E12827">
        <w:rPr>
          <w:rFonts w:ascii="Times New Roman" w:hAnsi="Times New Roman" w:cs="Times New Roman"/>
          <w:sz w:val="24"/>
          <w:szCs w:val="24"/>
        </w:rPr>
        <w:t xml:space="preserve">historic </w:t>
      </w:r>
      <w:r>
        <w:rPr>
          <w:rFonts w:ascii="Times New Roman" w:hAnsi="Times New Roman" w:cs="Times New Roman"/>
          <w:sz w:val="24"/>
          <w:szCs w:val="24"/>
        </w:rPr>
        <w:t>airborne</w:t>
      </w:r>
      <w:r w:rsidR="00E12827">
        <w:rPr>
          <w:rFonts w:ascii="Times New Roman" w:hAnsi="Times New Roman" w:cs="Times New Roman"/>
          <w:sz w:val="24"/>
          <w:szCs w:val="24"/>
        </w:rPr>
        <w:t xml:space="preserve"> and waterborne</w:t>
      </w:r>
      <w:r>
        <w:rPr>
          <w:rFonts w:ascii="Times New Roman" w:hAnsi="Times New Roman" w:cs="Times New Roman"/>
          <w:sz w:val="24"/>
          <w:szCs w:val="24"/>
        </w:rPr>
        <w:t xml:space="preserve"> emissions from steel </w:t>
      </w:r>
      <w:r w:rsidR="00E12827">
        <w:rPr>
          <w:rFonts w:ascii="Times New Roman" w:hAnsi="Times New Roman" w:cs="Times New Roman"/>
          <w:sz w:val="24"/>
          <w:szCs w:val="24"/>
        </w:rPr>
        <w:t xml:space="preserve">and coke </w:t>
      </w:r>
      <w:r>
        <w:rPr>
          <w:rFonts w:ascii="Times New Roman" w:hAnsi="Times New Roman" w:cs="Times New Roman"/>
          <w:sz w:val="24"/>
          <w:szCs w:val="24"/>
        </w:rPr>
        <w:t>works, which operated from 1903 through 2000. The Nova Scotia Court of Appeal set aside the order certifying the action as a class proceeding. In so doing, the Court gave consideration to a number of torts.</w:t>
      </w:r>
    </w:p>
    <w:p w:rsidR="001B2D8B" w:rsidRDefault="001B2D8B" w:rsidP="0009251A">
      <w:pPr>
        <w:jc w:val="both"/>
        <w:rPr>
          <w:rFonts w:ascii="Times New Roman" w:hAnsi="Times New Roman" w:cs="Times New Roman"/>
          <w:sz w:val="24"/>
          <w:szCs w:val="24"/>
        </w:rPr>
      </w:pPr>
    </w:p>
    <w:p w:rsidR="001B2D8B" w:rsidRDefault="001B2D8B" w:rsidP="0009251A">
      <w:pPr>
        <w:jc w:val="both"/>
        <w:rPr>
          <w:rFonts w:ascii="Times New Roman" w:hAnsi="Times New Roman" w:cs="Times New Roman"/>
          <w:sz w:val="24"/>
          <w:szCs w:val="24"/>
        </w:rPr>
      </w:pPr>
      <w:r>
        <w:rPr>
          <w:rFonts w:ascii="Times New Roman" w:hAnsi="Times New Roman" w:cs="Times New Roman"/>
          <w:sz w:val="24"/>
          <w:szCs w:val="24"/>
        </w:rPr>
        <w:t>The NSCA followed</w:t>
      </w:r>
      <w:r w:rsidR="00D27C17">
        <w:rPr>
          <w:rFonts w:ascii="Times New Roman" w:hAnsi="Times New Roman" w:cs="Times New Roman"/>
          <w:sz w:val="24"/>
          <w:szCs w:val="24"/>
        </w:rPr>
        <w:t xml:space="preserve"> its</w:t>
      </w:r>
      <w:r>
        <w:rPr>
          <w:rFonts w:ascii="Times New Roman" w:hAnsi="Times New Roman" w:cs="Times New Roman"/>
          <w:sz w:val="24"/>
          <w:szCs w:val="24"/>
        </w:rPr>
        <w:t xml:space="preserve"> Ontario counterpart in </w:t>
      </w:r>
      <w:r w:rsidRPr="001B2D8B">
        <w:rPr>
          <w:rFonts w:ascii="Times New Roman" w:hAnsi="Times New Roman" w:cs="Times New Roman"/>
          <w:i/>
          <w:sz w:val="24"/>
          <w:szCs w:val="24"/>
        </w:rPr>
        <w:t>Smith v. Inco</w:t>
      </w:r>
      <w:r>
        <w:rPr>
          <w:rFonts w:ascii="Times New Roman" w:hAnsi="Times New Roman" w:cs="Times New Roman"/>
          <w:sz w:val="24"/>
          <w:szCs w:val="24"/>
        </w:rPr>
        <w:t xml:space="preserve">, and ruled that no cause of action was made out under the rule in </w:t>
      </w:r>
      <w:proofErr w:type="spellStart"/>
      <w:r w:rsidRPr="001B2D8B">
        <w:rPr>
          <w:rFonts w:ascii="Times New Roman" w:hAnsi="Times New Roman" w:cs="Times New Roman"/>
          <w:i/>
          <w:sz w:val="24"/>
          <w:szCs w:val="24"/>
        </w:rPr>
        <w:t>Rylands</w:t>
      </w:r>
      <w:proofErr w:type="spellEnd"/>
      <w:r w:rsidRPr="001B2D8B">
        <w:rPr>
          <w:rFonts w:ascii="Times New Roman" w:hAnsi="Times New Roman" w:cs="Times New Roman"/>
          <w:i/>
          <w:sz w:val="24"/>
          <w:szCs w:val="24"/>
        </w:rPr>
        <w:t xml:space="preserve"> v. Fletcher</w:t>
      </w:r>
      <w:r>
        <w:rPr>
          <w:rFonts w:ascii="Times New Roman" w:hAnsi="Times New Roman" w:cs="Times New Roman"/>
          <w:sz w:val="24"/>
          <w:szCs w:val="24"/>
        </w:rPr>
        <w:t xml:space="preserve">. </w:t>
      </w:r>
      <w:r w:rsidR="00D27C17">
        <w:rPr>
          <w:rFonts w:ascii="Times New Roman" w:hAnsi="Times New Roman" w:cs="Times New Roman"/>
          <w:sz w:val="24"/>
          <w:szCs w:val="24"/>
        </w:rPr>
        <w:t>The Court</w:t>
      </w:r>
      <w:r>
        <w:rPr>
          <w:rFonts w:ascii="Times New Roman" w:hAnsi="Times New Roman" w:cs="Times New Roman"/>
          <w:sz w:val="24"/>
          <w:szCs w:val="24"/>
        </w:rPr>
        <w:t xml:space="preserve"> ruled that the use was not "non-natural" but rather an ordinary consequence of lawful activity (i.e. discharging pollution in an industrial area). Similarly, the routine discharge of contamination was not an "escape".</w:t>
      </w:r>
    </w:p>
    <w:p w:rsidR="001B2D8B" w:rsidRDefault="001B2D8B" w:rsidP="0009251A">
      <w:pPr>
        <w:jc w:val="both"/>
        <w:rPr>
          <w:rFonts w:ascii="Times New Roman" w:hAnsi="Times New Roman" w:cs="Times New Roman"/>
          <w:sz w:val="24"/>
          <w:szCs w:val="24"/>
        </w:rPr>
      </w:pPr>
    </w:p>
    <w:p w:rsidR="001B2D8B" w:rsidRDefault="001B2D8B" w:rsidP="0009251A">
      <w:pPr>
        <w:jc w:val="both"/>
        <w:rPr>
          <w:rFonts w:ascii="Times New Roman" w:hAnsi="Times New Roman" w:cs="Times New Roman"/>
          <w:sz w:val="24"/>
          <w:szCs w:val="24"/>
        </w:rPr>
      </w:pPr>
      <w:r>
        <w:rPr>
          <w:rFonts w:ascii="Times New Roman" w:hAnsi="Times New Roman" w:cs="Times New Roman"/>
          <w:sz w:val="24"/>
          <w:szCs w:val="24"/>
        </w:rPr>
        <w:t>The NSCA also ruled that no cause of action was made out in trespass or battery, as</w:t>
      </w:r>
      <w:r w:rsidR="00D27C17">
        <w:rPr>
          <w:rFonts w:ascii="Times New Roman" w:hAnsi="Times New Roman" w:cs="Times New Roman"/>
          <w:sz w:val="24"/>
          <w:szCs w:val="24"/>
        </w:rPr>
        <w:t xml:space="preserve"> the accumulation of contaminant</w:t>
      </w:r>
      <w:r>
        <w:rPr>
          <w:rFonts w:ascii="Times New Roman" w:hAnsi="Times New Roman" w:cs="Times New Roman"/>
          <w:sz w:val="24"/>
          <w:szCs w:val="24"/>
        </w:rPr>
        <w:t xml:space="preserve"> was indirect and over the years, rather than direct and immediate as required in either tort.</w:t>
      </w:r>
    </w:p>
    <w:p w:rsidR="001B2D8B" w:rsidRDefault="001B2D8B" w:rsidP="0009251A">
      <w:pPr>
        <w:jc w:val="both"/>
        <w:rPr>
          <w:rFonts w:ascii="Times New Roman" w:hAnsi="Times New Roman" w:cs="Times New Roman"/>
          <w:sz w:val="24"/>
          <w:szCs w:val="24"/>
        </w:rPr>
      </w:pPr>
    </w:p>
    <w:p w:rsidR="001B2D8B" w:rsidRDefault="001B2D8B" w:rsidP="0009251A">
      <w:pPr>
        <w:jc w:val="both"/>
        <w:rPr>
          <w:rFonts w:ascii="Times New Roman" w:hAnsi="Times New Roman" w:cs="Times New Roman"/>
          <w:sz w:val="24"/>
          <w:szCs w:val="24"/>
        </w:rPr>
      </w:pPr>
      <w:r>
        <w:rPr>
          <w:rFonts w:ascii="Times New Roman" w:hAnsi="Times New Roman" w:cs="Times New Roman"/>
          <w:sz w:val="24"/>
          <w:szCs w:val="24"/>
        </w:rPr>
        <w:t>The Court concluded that a cause of action</w:t>
      </w:r>
      <w:r w:rsidR="003C401F">
        <w:rPr>
          <w:rFonts w:ascii="Times New Roman" w:hAnsi="Times New Roman" w:cs="Times New Roman"/>
          <w:sz w:val="24"/>
          <w:szCs w:val="24"/>
        </w:rPr>
        <w:t xml:space="preserve"> in nuisance had been made out </w:t>
      </w:r>
      <w:r w:rsidR="00D27C17">
        <w:rPr>
          <w:rFonts w:ascii="Times New Roman" w:hAnsi="Times New Roman" w:cs="Times New Roman"/>
          <w:sz w:val="24"/>
          <w:szCs w:val="24"/>
        </w:rPr>
        <w:t>but</w:t>
      </w:r>
      <w:r w:rsidR="003C401F">
        <w:rPr>
          <w:rFonts w:ascii="Times New Roman" w:hAnsi="Times New Roman" w:cs="Times New Roman"/>
          <w:sz w:val="24"/>
          <w:szCs w:val="24"/>
        </w:rPr>
        <w:t xml:space="preserve"> went on, however, to conclude that </w:t>
      </w:r>
      <w:r w:rsidR="00D27C17">
        <w:rPr>
          <w:rFonts w:ascii="Times New Roman" w:hAnsi="Times New Roman" w:cs="Times New Roman"/>
          <w:sz w:val="24"/>
          <w:szCs w:val="24"/>
        </w:rPr>
        <w:t>n</w:t>
      </w:r>
      <w:r w:rsidR="003C401F">
        <w:rPr>
          <w:rFonts w:ascii="Times New Roman" w:hAnsi="Times New Roman" w:cs="Times New Roman"/>
          <w:sz w:val="24"/>
          <w:szCs w:val="24"/>
        </w:rPr>
        <w:t xml:space="preserve">either nuisance, </w:t>
      </w:r>
      <w:r w:rsidR="00D27C17">
        <w:rPr>
          <w:rFonts w:ascii="Times New Roman" w:hAnsi="Times New Roman" w:cs="Times New Roman"/>
          <w:sz w:val="24"/>
          <w:szCs w:val="24"/>
        </w:rPr>
        <w:t>n</w:t>
      </w:r>
      <w:r w:rsidR="003C401F">
        <w:rPr>
          <w:rFonts w:ascii="Times New Roman" w:hAnsi="Times New Roman" w:cs="Times New Roman"/>
          <w:sz w:val="24"/>
          <w:szCs w:val="24"/>
        </w:rPr>
        <w:t xml:space="preserve">or negligence </w:t>
      </w:r>
      <w:r w:rsidR="00D27C17">
        <w:rPr>
          <w:rFonts w:ascii="Times New Roman" w:hAnsi="Times New Roman" w:cs="Times New Roman"/>
          <w:sz w:val="24"/>
          <w:szCs w:val="24"/>
        </w:rPr>
        <w:t>claims should have been certified.</w:t>
      </w:r>
    </w:p>
    <w:p w:rsidR="003C401F" w:rsidRDefault="003C401F" w:rsidP="0009251A">
      <w:pPr>
        <w:jc w:val="both"/>
        <w:rPr>
          <w:rFonts w:ascii="Times New Roman" w:hAnsi="Times New Roman" w:cs="Times New Roman"/>
          <w:sz w:val="24"/>
          <w:szCs w:val="24"/>
        </w:rPr>
      </w:pPr>
    </w:p>
    <w:p w:rsidR="003C401F" w:rsidRDefault="003C401F" w:rsidP="0009251A">
      <w:pPr>
        <w:jc w:val="both"/>
        <w:rPr>
          <w:rFonts w:ascii="Times New Roman" w:hAnsi="Times New Roman" w:cs="Times New Roman"/>
          <w:sz w:val="24"/>
          <w:szCs w:val="24"/>
        </w:rPr>
      </w:pPr>
      <w:r>
        <w:rPr>
          <w:rFonts w:ascii="Times New Roman" w:hAnsi="Times New Roman" w:cs="Times New Roman"/>
          <w:sz w:val="24"/>
          <w:szCs w:val="24"/>
        </w:rPr>
        <w:t>The NSCA concluded that many of the issues stated to be common, were not. For example, the Court noted that the nature of the impact of contamination on any of the individual class member</w:t>
      </w:r>
      <w:r w:rsidR="00763168">
        <w:rPr>
          <w:rFonts w:ascii="Times New Roman" w:hAnsi="Times New Roman" w:cs="Times New Roman"/>
          <w:sz w:val="24"/>
          <w:szCs w:val="24"/>
        </w:rPr>
        <w:t>s</w:t>
      </w:r>
      <w:r>
        <w:rPr>
          <w:rFonts w:ascii="Times New Roman" w:hAnsi="Times New Roman" w:cs="Times New Roman"/>
          <w:sz w:val="24"/>
          <w:szCs w:val="24"/>
        </w:rPr>
        <w:t xml:space="preserve"> whether in nuisance or negligence, would depend on the individual circumstances surrounding that impact. Accordingly, the Court's view was that the</w:t>
      </w:r>
      <w:r w:rsidR="002E6DA6">
        <w:rPr>
          <w:rFonts w:ascii="Times New Roman" w:hAnsi="Times New Roman" w:cs="Times New Roman"/>
          <w:sz w:val="24"/>
          <w:szCs w:val="24"/>
        </w:rPr>
        <w:t xml:space="preserve">re was no proper "common" issue in most cases. The few remaining common issues (such as whether defendants discharged contaminant) would not significantly advance </w:t>
      </w:r>
      <w:r w:rsidR="00763168">
        <w:rPr>
          <w:rFonts w:ascii="Times New Roman" w:hAnsi="Times New Roman" w:cs="Times New Roman"/>
          <w:sz w:val="24"/>
          <w:szCs w:val="24"/>
        </w:rPr>
        <w:t xml:space="preserve">all of </w:t>
      </w:r>
      <w:r w:rsidR="002E6DA6">
        <w:rPr>
          <w:rFonts w:ascii="Times New Roman" w:hAnsi="Times New Roman" w:cs="Times New Roman"/>
          <w:sz w:val="24"/>
          <w:szCs w:val="24"/>
        </w:rPr>
        <w:t xml:space="preserve">the class members' claims at trial. </w:t>
      </w:r>
      <w:r w:rsidR="002E6DA6">
        <w:rPr>
          <w:rFonts w:ascii="Times New Roman" w:hAnsi="Times New Roman" w:cs="Times New Roman"/>
          <w:sz w:val="24"/>
          <w:szCs w:val="24"/>
        </w:rPr>
        <w:lastRenderedPageBreak/>
        <w:t>Accordingly, for those common issues, the Court concluded that a class action was not the preferable procedure. The NSCA overturned the certification order.</w:t>
      </w:r>
    </w:p>
    <w:p w:rsidR="002E6DA6" w:rsidRDefault="002E6DA6" w:rsidP="0009251A">
      <w:pPr>
        <w:jc w:val="both"/>
        <w:rPr>
          <w:rFonts w:ascii="Times New Roman" w:hAnsi="Times New Roman" w:cs="Times New Roman"/>
          <w:sz w:val="24"/>
          <w:szCs w:val="24"/>
        </w:rPr>
      </w:pPr>
    </w:p>
    <w:p w:rsidR="005B2CBD" w:rsidRDefault="002E6DA6" w:rsidP="0009251A">
      <w:pPr>
        <w:jc w:val="both"/>
        <w:rPr>
          <w:rFonts w:ascii="Times New Roman" w:hAnsi="Times New Roman" w:cs="Times New Roman"/>
          <w:sz w:val="24"/>
          <w:szCs w:val="24"/>
        </w:rPr>
      </w:pPr>
      <w:r>
        <w:rPr>
          <w:rFonts w:ascii="Times New Roman" w:hAnsi="Times New Roman" w:cs="Times New Roman"/>
          <w:sz w:val="24"/>
          <w:szCs w:val="24"/>
        </w:rPr>
        <w:t xml:space="preserve">The Alberta Court of Appeal most recently considered environmental tort issues in </w:t>
      </w:r>
      <w:r w:rsidRPr="002E6DA6">
        <w:rPr>
          <w:rFonts w:ascii="Times New Roman" w:hAnsi="Times New Roman" w:cs="Times New Roman"/>
          <w:i/>
          <w:sz w:val="24"/>
          <w:szCs w:val="24"/>
        </w:rPr>
        <w:t>Windsor v. Canadian Pacific Railway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5B2CBD" w:rsidRDefault="005B2CBD" w:rsidP="0009251A">
      <w:pPr>
        <w:jc w:val="both"/>
        <w:rPr>
          <w:rFonts w:ascii="Times New Roman" w:hAnsi="Times New Roman" w:cs="Times New Roman"/>
          <w:sz w:val="24"/>
          <w:szCs w:val="24"/>
        </w:rPr>
      </w:pPr>
    </w:p>
    <w:p w:rsidR="005B2CBD" w:rsidRDefault="005B2CBD" w:rsidP="0009251A">
      <w:pPr>
        <w:jc w:val="both"/>
        <w:rPr>
          <w:rFonts w:ascii="Times New Roman" w:hAnsi="Times New Roman" w:cs="Times New Roman"/>
          <w:sz w:val="24"/>
          <w:szCs w:val="24"/>
        </w:rPr>
      </w:pPr>
      <w:r>
        <w:rPr>
          <w:rFonts w:ascii="Times New Roman" w:hAnsi="Times New Roman" w:cs="Times New Roman"/>
          <w:sz w:val="24"/>
          <w:szCs w:val="24"/>
        </w:rPr>
        <w:t xml:space="preserve">This was another TCE case. CPR operated an engine repair shop outside of Calgary. From the mid-50's to 1972, TCE was used as a degreasing solvent, and wastes were discharged into a settling pond, from which they leaked into groundwater. As a result of a contamination plume, CPR determined that some 70 neighbouring homes had </w:t>
      </w:r>
      <w:r w:rsidR="00CF072B">
        <w:rPr>
          <w:rFonts w:ascii="Times New Roman" w:hAnsi="Times New Roman" w:cs="Times New Roman"/>
          <w:sz w:val="24"/>
          <w:szCs w:val="24"/>
        </w:rPr>
        <w:t xml:space="preserve">indoor </w:t>
      </w:r>
      <w:r>
        <w:rPr>
          <w:rFonts w:ascii="Times New Roman" w:hAnsi="Times New Roman" w:cs="Times New Roman"/>
          <w:sz w:val="24"/>
          <w:szCs w:val="24"/>
        </w:rPr>
        <w:t>levels of TCE vapour above Health Canada thresholds</w:t>
      </w:r>
      <w:r w:rsidR="00C92270">
        <w:rPr>
          <w:rFonts w:ascii="Times New Roman" w:hAnsi="Times New Roman" w:cs="Times New Roman"/>
          <w:sz w:val="24"/>
          <w:szCs w:val="24"/>
        </w:rPr>
        <w:t>,</w:t>
      </w:r>
      <w:r>
        <w:rPr>
          <w:rFonts w:ascii="Times New Roman" w:hAnsi="Times New Roman" w:cs="Times New Roman"/>
          <w:sz w:val="24"/>
          <w:szCs w:val="24"/>
        </w:rPr>
        <w:t xml:space="preserve"> and installed ventilation systems. No remediation measures were taken on other homes in the area</w:t>
      </w:r>
      <w:r w:rsidR="00C92270">
        <w:rPr>
          <w:rFonts w:ascii="Times New Roman" w:hAnsi="Times New Roman" w:cs="Times New Roman"/>
          <w:sz w:val="24"/>
          <w:szCs w:val="24"/>
        </w:rPr>
        <w:t>,</w:t>
      </w:r>
      <w:r>
        <w:rPr>
          <w:rFonts w:ascii="Times New Roman" w:hAnsi="Times New Roman" w:cs="Times New Roman"/>
          <w:sz w:val="24"/>
          <w:szCs w:val="24"/>
        </w:rPr>
        <w:t xml:space="preserve"> as TCE levels were below the Health Canada thresholds. The action was certified as a class proceeding on behalf of both categories of neighbour.</w:t>
      </w:r>
    </w:p>
    <w:p w:rsidR="005B2CBD" w:rsidRDefault="005B2CBD" w:rsidP="0009251A">
      <w:pPr>
        <w:jc w:val="both"/>
        <w:rPr>
          <w:rFonts w:ascii="Times New Roman" w:hAnsi="Times New Roman" w:cs="Times New Roman"/>
          <w:sz w:val="24"/>
          <w:szCs w:val="24"/>
        </w:rPr>
      </w:pPr>
    </w:p>
    <w:p w:rsidR="00D27C17" w:rsidRDefault="005B2CBD" w:rsidP="00D27C17">
      <w:pPr>
        <w:jc w:val="both"/>
        <w:rPr>
          <w:rFonts w:ascii="Times New Roman" w:hAnsi="Times New Roman" w:cs="Times New Roman"/>
          <w:sz w:val="24"/>
          <w:szCs w:val="24"/>
        </w:rPr>
      </w:pPr>
      <w:r>
        <w:rPr>
          <w:rFonts w:ascii="Times New Roman" w:hAnsi="Times New Roman" w:cs="Times New Roman"/>
          <w:sz w:val="24"/>
          <w:szCs w:val="24"/>
        </w:rPr>
        <w:t xml:space="preserve">Following </w:t>
      </w:r>
      <w:r w:rsidRPr="00665893">
        <w:rPr>
          <w:rFonts w:ascii="Times New Roman" w:hAnsi="Times New Roman" w:cs="Times New Roman"/>
          <w:i/>
          <w:sz w:val="24"/>
          <w:szCs w:val="24"/>
        </w:rPr>
        <w:t>Inco</w:t>
      </w:r>
      <w:r>
        <w:rPr>
          <w:rFonts w:ascii="Times New Roman" w:hAnsi="Times New Roman" w:cs="Times New Roman"/>
          <w:sz w:val="24"/>
          <w:szCs w:val="24"/>
        </w:rPr>
        <w:t xml:space="preserve"> and </w:t>
      </w:r>
      <w:proofErr w:type="spellStart"/>
      <w:r w:rsidRPr="00665893">
        <w:rPr>
          <w:rFonts w:ascii="Times New Roman" w:hAnsi="Times New Roman" w:cs="Times New Roman"/>
          <w:i/>
          <w:sz w:val="24"/>
          <w:szCs w:val="24"/>
        </w:rPr>
        <w:t>MacQueen</w:t>
      </w:r>
      <w:proofErr w:type="spellEnd"/>
      <w:r>
        <w:rPr>
          <w:rFonts w:ascii="Times New Roman" w:hAnsi="Times New Roman" w:cs="Times New Roman"/>
          <w:sz w:val="24"/>
          <w:szCs w:val="24"/>
        </w:rPr>
        <w:t xml:space="preserve">, </w:t>
      </w:r>
      <w:r w:rsidR="00665893">
        <w:rPr>
          <w:rFonts w:ascii="Times New Roman" w:hAnsi="Times New Roman" w:cs="Times New Roman"/>
          <w:sz w:val="24"/>
          <w:szCs w:val="24"/>
        </w:rPr>
        <w:t xml:space="preserve">the Alberta Court of Appeal concluded that the CPR shops were zoned for this type of industrial use and that the use was "appropriate to the </w:t>
      </w:r>
      <w:r w:rsidR="00D27C17">
        <w:rPr>
          <w:rFonts w:ascii="Times New Roman" w:hAnsi="Times New Roman" w:cs="Times New Roman"/>
          <w:sz w:val="24"/>
          <w:szCs w:val="24"/>
        </w:rPr>
        <w:t xml:space="preserve">place where it was maintained". Accordingly, the use was not "non-natural" or "special". The Court concluded that there was no </w:t>
      </w:r>
      <w:r w:rsidR="00C92270">
        <w:rPr>
          <w:rFonts w:ascii="Times New Roman" w:hAnsi="Times New Roman" w:cs="Times New Roman"/>
          <w:sz w:val="24"/>
          <w:szCs w:val="24"/>
        </w:rPr>
        <w:t>"</w:t>
      </w:r>
      <w:r w:rsidR="00D27C17">
        <w:rPr>
          <w:rFonts w:ascii="Times New Roman" w:hAnsi="Times New Roman" w:cs="Times New Roman"/>
          <w:sz w:val="24"/>
          <w:szCs w:val="24"/>
        </w:rPr>
        <w:t>escape</w:t>
      </w:r>
      <w:r w:rsidR="00C92270">
        <w:rPr>
          <w:rFonts w:ascii="Times New Roman" w:hAnsi="Times New Roman" w:cs="Times New Roman"/>
          <w:sz w:val="24"/>
          <w:szCs w:val="24"/>
        </w:rPr>
        <w:t>"</w:t>
      </w:r>
      <w:r w:rsidR="00D27C17">
        <w:rPr>
          <w:rFonts w:ascii="Times New Roman" w:hAnsi="Times New Roman" w:cs="Times New Roman"/>
          <w:sz w:val="24"/>
          <w:szCs w:val="24"/>
        </w:rPr>
        <w:t xml:space="preserve"> within the meaning of </w:t>
      </w:r>
      <w:proofErr w:type="spellStart"/>
      <w:r w:rsidR="00D27C17" w:rsidRPr="00665893">
        <w:rPr>
          <w:rFonts w:ascii="Times New Roman" w:hAnsi="Times New Roman" w:cs="Times New Roman"/>
          <w:i/>
          <w:sz w:val="24"/>
          <w:szCs w:val="24"/>
        </w:rPr>
        <w:t>Rylands</w:t>
      </w:r>
      <w:proofErr w:type="spellEnd"/>
      <w:r w:rsidR="00D27C17" w:rsidRPr="00665893">
        <w:rPr>
          <w:rFonts w:ascii="Times New Roman" w:hAnsi="Times New Roman" w:cs="Times New Roman"/>
          <w:i/>
          <w:sz w:val="24"/>
          <w:szCs w:val="24"/>
        </w:rPr>
        <w:t xml:space="preserve"> v. Fletcher</w:t>
      </w:r>
      <w:r w:rsidR="00D27C17">
        <w:rPr>
          <w:rFonts w:ascii="Times New Roman" w:hAnsi="Times New Roman" w:cs="Times New Roman"/>
          <w:sz w:val="24"/>
          <w:szCs w:val="24"/>
        </w:rPr>
        <w:t xml:space="preserve"> because the discharge of contamination was deliberate (which</w:t>
      </w:r>
      <w:r w:rsidR="00C92270">
        <w:rPr>
          <w:rFonts w:ascii="Times New Roman" w:hAnsi="Times New Roman" w:cs="Times New Roman"/>
          <w:sz w:val="24"/>
          <w:szCs w:val="24"/>
        </w:rPr>
        <w:t>,</w:t>
      </w:r>
      <w:r w:rsidR="00D27C17">
        <w:rPr>
          <w:rFonts w:ascii="Times New Roman" w:hAnsi="Times New Roman" w:cs="Times New Roman"/>
          <w:sz w:val="24"/>
          <w:szCs w:val="24"/>
        </w:rPr>
        <w:t xml:space="preserve"> the Court noted</w:t>
      </w:r>
      <w:r w:rsidR="00C92270">
        <w:rPr>
          <w:rFonts w:ascii="Times New Roman" w:hAnsi="Times New Roman" w:cs="Times New Roman"/>
          <w:sz w:val="24"/>
          <w:szCs w:val="24"/>
        </w:rPr>
        <w:t>,</w:t>
      </w:r>
      <w:r w:rsidR="00D27C17">
        <w:rPr>
          <w:rFonts w:ascii="Times New Roman" w:hAnsi="Times New Roman" w:cs="Times New Roman"/>
          <w:sz w:val="24"/>
          <w:szCs w:val="24"/>
        </w:rPr>
        <w:t xml:space="preserve"> seemed "surprising").</w:t>
      </w:r>
    </w:p>
    <w:p w:rsidR="00D27C17" w:rsidRDefault="00D27C17" w:rsidP="0009251A">
      <w:pPr>
        <w:jc w:val="both"/>
        <w:rPr>
          <w:rFonts w:ascii="Times New Roman" w:hAnsi="Times New Roman" w:cs="Times New Roman"/>
          <w:sz w:val="24"/>
          <w:szCs w:val="24"/>
        </w:rPr>
      </w:pPr>
    </w:p>
    <w:p w:rsidR="00D27C17" w:rsidRDefault="00D27C17" w:rsidP="0009251A">
      <w:pPr>
        <w:jc w:val="both"/>
        <w:rPr>
          <w:rFonts w:ascii="Times New Roman" w:hAnsi="Times New Roman" w:cs="Times New Roman"/>
          <w:sz w:val="24"/>
          <w:szCs w:val="24"/>
        </w:rPr>
      </w:pPr>
    </w:p>
    <w:p w:rsidR="005B2CBD" w:rsidRDefault="00665893" w:rsidP="0009251A">
      <w:pPr>
        <w:jc w:val="both"/>
        <w:rPr>
          <w:rFonts w:ascii="Times New Roman" w:hAnsi="Times New Roman" w:cs="Times New Roman"/>
          <w:sz w:val="24"/>
          <w:szCs w:val="24"/>
        </w:rPr>
      </w:pPr>
      <w:r>
        <w:rPr>
          <w:rFonts w:ascii="Times New Roman" w:hAnsi="Times New Roman" w:cs="Times New Roman"/>
          <w:sz w:val="24"/>
          <w:szCs w:val="24"/>
        </w:rPr>
        <w:t xml:space="preserve">The ABCA referred to a House of Lords decision, </w:t>
      </w:r>
      <w:r w:rsidRPr="00665893">
        <w:rPr>
          <w:rFonts w:ascii="Times New Roman" w:hAnsi="Times New Roman" w:cs="Times New Roman"/>
          <w:i/>
          <w:sz w:val="24"/>
          <w:szCs w:val="24"/>
        </w:rPr>
        <w:t>Cambridge Water Co. v. Eastern Counties Leather PLC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introduced the notion of f</w:t>
      </w:r>
      <w:r w:rsidR="000C72C9">
        <w:rPr>
          <w:rFonts w:ascii="Times New Roman" w:hAnsi="Times New Roman" w:cs="Times New Roman"/>
          <w:sz w:val="24"/>
          <w:szCs w:val="24"/>
        </w:rPr>
        <w:t>oreseeability in relation to an</w:t>
      </w:r>
      <w:r>
        <w:rPr>
          <w:rFonts w:ascii="Times New Roman" w:hAnsi="Times New Roman" w:cs="Times New Roman"/>
          <w:sz w:val="24"/>
          <w:szCs w:val="24"/>
        </w:rPr>
        <w:t xml:space="preserve"> escape</w:t>
      </w:r>
      <w:r w:rsidR="00D27C17">
        <w:rPr>
          <w:rFonts w:ascii="Times New Roman" w:hAnsi="Times New Roman" w:cs="Times New Roman"/>
          <w:sz w:val="24"/>
          <w:szCs w:val="24"/>
        </w:rPr>
        <w:t xml:space="preserve"> </w:t>
      </w:r>
      <w:r w:rsidR="000C72C9">
        <w:rPr>
          <w:rFonts w:ascii="Times New Roman" w:hAnsi="Times New Roman" w:cs="Times New Roman"/>
          <w:sz w:val="24"/>
          <w:szCs w:val="24"/>
        </w:rPr>
        <w:t xml:space="preserve">of TCE </w:t>
      </w:r>
      <w:r w:rsidR="00D27C17">
        <w:rPr>
          <w:rFonts w:ascii="Times New Roman" w:hAnsi="Times New Roman" w:cs="Times New Roman"/>
          <w:sz w:val="24"/>
          <w:szCs w:val="24"/>
        </w:rPr>
        <w:t>in the context of a strict liability claim</w:t>
      </w:r>
      <w:r w:rsidR="000C72C9">
        <w:rPr>
          <w:rFonts w:ascii="Times New Roman" w:hAnsi="Times New Roman" w:cs="Times New Roman"/>
          <w:sz w:val="24"/>
          <w:szCs w:val="24"/>
        </w:rPr>
        <w:t xml:space="preserve">. In </w:t>
      </w:r>
      <w:r w:rsidR="000C72C9" w:rsidRPr="00763168">
        <w:rPr>
          <w:rFonts w:ascii="Times New Roman" w:hAnsi="Times New Roman" w:cs="Times New Roman"/>
          <w:i/>
          <w:sz w:val="24"/>
          <w:szCs w:val="24"/>
        </w:rPr>
        <w:t>Windsor</w:t>
      </w:r>
      <w:r w:rsidR="000C72C9">
        <w:rPr>
          <w:rFonts w:ascii="Times New Roman" w:hAnsi="Times New Roman" w:cs="Times New Roman"/>
          <w:sz w:val="24"/>
          <w:szCs w:val="24"/>
        </w:rPr>
        <w:t>, a</w:t>
      </w:r>
      <w:r>
        <w:rPr>
          <w:rFonts w:ascii="Times New Roman" w:hAnsi="Times New Roman" w:cs="Times New Roman"/>
          <w:sz w:val="24"/>
          <w:szCs w:val="24"/>
        </w:rPr>
        <w:t xml:space="preserve">s in </w:t>
      </w:r>
      <w:r w:rsidRPr="00665893">
        <w:rPr>
          <w:rFonts w:ascii="Times New Roman" w:hAnsi="Times New Roman" w:cs="Times New Roman"/>
          <w:i/>
          <w:sz w:val="24"/>
          <w:szCs w:val="24"/>
        </w:rPr>
        <w:t>Cambridge</w:t>
      </w:r>
      <w:r>
        <w:rPr>
          <w:rFonts w:ascii="Times New Roman" w:hAnsi="Times New Roman" w:cs="Times New Roman"/>
          <w:sz w:val="24"/>
          <w:szCs w:val="24"/>
        </w:rPr>
        <w:t xml:space="preserve">, it was not until 10 years after the defendant's operation had ceased that it became known that TCE was more harmful than previously </w:t>
      </w:r>
      <w:r w:rsidR="000C72C9">
        <w:rPr>
          <w:rFonts w:ascii="Times New Roman" w:hAnsi="Times New Roman" w:cs="Times New Roman"/>
          <w:sz w:val="24"/>
          <w:szCs w:val="24"/>
        </w:rPr>
        <w:t>thought</w:t>
      </w:r>
      <w:r>
        <w:rPr>
          <w:rFonts w:ascii="Times New Roman" w:hAnsi="Times New Roman" w:cs="Times New Roman"/>
          <w:sz w:val="24"/>
          <w:szCs w:val="24"/>
        </w:rPr>
        <w:t>. It was almost 30 years later that it was first detected in the groundwater.</w:t>
      </w:r>
    </w:p>
    <w:p w:rsidR="00665893" w:rsidRDefault="00665893" w:rsidP="0009251A">
      <w:pPr>
        <w:jc w:val="both"/>
        <w:rPr>
          <w:rFonts w:ascii="Times New Roman" w:hAnsi="Times New Roman" w:cs="Times New Roman"/>
          <w:sz w:val="24"/>
          <w:szCs w:val="24"/>
        </w:rPr>
      </w:pPr>
    </w:p>
    <w:p w:rsidR="00665893" w:rsidRDefault="000C72C9" w:rsidP="0009251A">
      <w:pPr>
        <w:jc w:val="both"/>
        <w:rPr>
          <w:rFonts w:ascii="Times New Roman" w:hAnsi="Times New Roman" w:cs="Times New Roman"/>
          <w:sz w:val="24"/>
          <w:szCs w:val="24"/>
        </w:rPr>
      </w:pPr>
      <w:r>
        <w:rPr>
          <w:rFonts w:ascii="Times New Roman" w:hAnsi="Times New Roman" w:cs="Times New Roman"/>
          <w:sz w:val="24"/>
          <w:szCs w:val="24"/>
        </w:rPr>
        <w:t>The</w:t>
      </w:r>
      <w:r w:rsidR="00665893">
        <w:rPr>
          <w:rFonts w:ascii="Times New Roman" w:hAnsi="Times New Roman" w:cs="Times New Roman"/>
          <w:sz w:val="24"/>
          <w:szCs w:val="24"/>
        </w:rPr>
        <w:t xml:space="preserve"> Court </w:t>
      </w:r>
      <w:r>
        <w:rPr>
          <w:rFonts w:ascii="Times New Roman" w:hAnsi="Times New Roman" w:cs="Times New Roman"/>
          <w:sz w:val="24"/>
          <w:szCs w:val="24"/>
        </w:rPr>
        <w:t xml:space="preserve">also </w:t>
      </w:r>
      <w:r w:rsidR="00665893">
        <w:rPr>
          <w:rFonts w:ascii="Times New Roman" w:hAnsi="Times New Roman" w:cs="Times New Roman"/>
          <w:sz w:val="24"/>
          <w:szCs w:val="24"/>
        </w:rPr>
        <w:t xml:space="preserve">referred to the recent Supreme Court decision – </w:t>
      </w:r>
      <w:r w:rsidR="00665893" w:rsidRPr="00044EBA">
        <w:rPr>
          <w:rFonts w:ascii="Times New Roman" w:hAnsi="Times New Roman" w:cs="Times New Roman"/>
          <w:i/>
          <w:sz w:val="24"/>
          <w:szCs w:val="24"/>
        </w:rPr>
        <w:t>Antrim Truck Centre Ltd. v. Ontario (Transportation)</w:t>
      </w:r>
      <w:r w:rsidR="00665893" w:rsidRPr="00044EBA">
        <w:rPr>
          <w:rStyle w:val="FootnoteReference"/>
          <w:rFonts w:ascii="Times New Roman" w:hAnsi="Times New Roman" w:cs="Times New Roman"/>
          <w:sz w:val="24"/>
          <w:szCs w:val="24"/>
        </w:rPr>
        <w:footnoteReference w:id="15"/>
      </w:r>
      <w:r w:rsidR="00044EBA">
        <w:rPr>
          <w:rFonts w:ascii="Times New Roman" w:hAnsi="Times New Roman" w:cs="Times New Roman"/>
          <w:sz w:val="24"/>
          <w:szCs w:val="24"/>
        </w:rPr>
        <w:t xml:space="preserve"> - </w:t>
      </w:r>
      <w:r w:rsidR="00044EBA" w:rsidRPr="00044EBA">
        <w:rPr>
          <w:rFonts w:ascii="Times New Roman" w:hAnsi="Times New Roman" w:cs="Times New Roman"/>
          <w:sz w:val="24"/>
          <w:szCs w:val="24"/>
        </w:rPr>
        <w:t>reiterating the requirement that damages in a nuisance claim not be nominal or trivial. The ABCA concluded that this was an issue which would have to be addressed at trial with respect to</w:t>
      </w:r>
      <w:r w:rsidR="00C001F3">
        <w:rPr>
          <w:rFonts w:ascii="Times New Roman" w:hAnsi="Times New Roman" w:cs="Times New Roman"/>
          <w:sz w:val="24"/>
          <w:szCs w:val="24"/>
        </w:rPr>
        <w:t xml:space="preserve"> those homes with sub-slab </w:t>
      </w:r>
      <w:r w:rsidR="00044EBA">
        <w:rPr>
          <w:rFonts w:ascii="Times New Roman" w:hAnsi="Times New Roman" w:cs="Times New Roman"/>
          <w:sz w:val="24"/>
          <w:szCs w:val="24"/>
        </w:rPr>
        <w:t>ventilation. Those without ventilation (i.e. with levels lower than the Health Canada standard) had been carved out of the class on the certification motion.</w:t>
      </w:r>
    </w:p>
    <w:p w:rsidR="00044EBA" w:rsidRDefault="00044EBA" w:rsidP="0009251A">
      <w:pPr>
        <w:jc w:val="both"/>
        <w:rPr>
          <w:rFonts w:ascii="Times New Roman" w:hAnsi="Times New Roman" w:cs="Times New Roman"/>
          <w:sz w:val="24"/>
          <w:szCs w:val="24"/>
        </w:rPr>
      </w:pPr>
    </w:p>
    <w:p w:rsidR="00044EBA" w:rsidRDefault="00044EBA" w:rsidP="0009251A">
      <w:pPr>
        <w:jc w:val="both"/>
        <w:rPr>
          <w:rFonts w:ascii="Times New Roman" w:hAnsi="Times New Roman" w:cs="Times New Roman"/>
          <w:sz w:val="24"/>
          <w:szCs w:val="24"/>
        </w:rPr>
      </w:pPr>
      <w:r>
        <w:rPr>
          <w:rFonts w:ascii="Times New Roman" w:hAnsi="Times New Roman" w:cs="Times New Roman"/>
          <w:sz w:val="24"/>
          <w:szCs w:val="24"/>
        </w:rPr>
        <w:t>These are recent cases which may significantly change the law associated with certain environmental torts. The panel will examine whether this is helpful to municipalities. Does it provide better protection against certain legacy problems (such as landfill methane or contaminated groundwater)?</w:t>
      </w:r>
    </w:p>
    <w:p w:rsidR="00415C07" w:rsidRDefault="00415C07" w:rsidP="0009251A">
      <w:pPr>
        <w:jc w:val="both"/>
        <w:rPr>
          <w:rFonts w:ascii="Times New Roman" w:hAnsi="Times New Roman" w:cs="Times New Roman"/>
          <w:sz w:val="24"/>
          <w:szCs w:val="24"/>
        </w:rPr>
      </w:pPr>
    </w:p>
    <w:p w:rsidR="00C001F3" w:rsidRDefault="00C001F3">
      <w:pPr>
        <w:rPr>
          <w:rFonts w:ascii="Times New Roman" w:hAnsi="Times New Roman" w:cs="Times New Roman"/>
          <w:b/>
          <w:i/>
          <w:sz w:val="24"/>
          <w:szCs w:val="24"/>
        </w:rPr>
      </w:pPr>
      <w:r>
        <w:rPr>
          <w:rFonts w:ascii="Times New Roman" w:hAnsi="Times New Roman" w:cs="Times New Roman"/>
          <w:b/>
          <w:i/>
          <w:sz w:val="24"/>
          <w:szCs w:val="24"/>
        </w:rPr>
        <w:br w:type="page"/>
      </w:r>
    </w:p>
    <w:p w:rsidR="00415C07" w:rsidRPr="007735E3" w:rsidRDefault="00415C07" w:rsidP="0009251A">
      <w:pPr>
        <w:jc w:val="both"/>
        <w:rPr>
          <w:rFonts w:ascii="Times New Roman" w:hAnsi="Times New Roman" w:cs="Times New Roman"/>
          <w:b/>
          <w:i/>
          <w:sz w:val="24"/>
          <w:szCs w:val="24"/>
        </w:rPr>
      </w:pPr>
      <w:r w:rsidRPr="007735E3">
        <w:rPr>
          <w:rFonts w:ascii="Times New Roman" w:hAnsi="Times New Roman" w:cs="Times New Roman"/>
          <w:b/>
          <w:i/>
          <w:sz w:val="24"/>
          <w:szCs w:val="24"/>
        </w:rPr>
        <w:lastRenderedPageBreak/>
        <w:t>Intervention in Regulatory Proceedings – Enbridge Line 9 Application</w:t>
      </w:r>
    </w:p>
    <w:p w:rsidR="00415C07" w:rsidRDefault="00415C07" w:rsidP="0009251A">
      <w:pPr>
        <w:jc w:val="both"/>
        <w:rPr>
          <w:rFonts w:ascii="Times New Roman" w:hAnsi="Times New Roman" w:cs="Times New Roman"/>
          <w:sz w:val="24"/>
          <w:szCs w:val="24"/>
        </w:rPr>
      </w:pPr>
    </w:p>
    <w:p w:rsidR="00415C07" w:rsidRDefault="00415C07" w:rsidP="0009251A">
      <w:pPr>
        <w:jc w:val="both"/>
        <w:rPr>
          <w:rFonts w:ascii="Times New Roman" w:hAnsi="Times New Roman" w:cs="Times New Roman"/>
          <w:sz w:val="24"/>
          <w:szCs w:val="24"/>
        </w:rPr>
      </w:pPr>
      <w:r>
        <w:rPr>
          <w:rFonts w:ascii="Times New Roman" w:hAnsi="Times New Roman" w:cs="Times New Roman"/>
          <w:sz w:val="24"/>
          <w:szCs w:val="24"/>
        </w:rPr>
        <w:t>We all like to use oil. Few of us give a lot of thought to where it comes from</w:t>
      </w:r>
      <w:r w:rsidR="000C72C9">
        <w:rPr>
          <w:rFonts w:ascii="Times New Roman" w:hAnsi="Times New Roman" w:cs="Times New Roman"/>
          <w:sz w:val="24"/>
          <w:szCs w:val="24"/>
        </w:rPr>
        <w:t>,</w:t>
      </w:r>
      <w:r>
        <w:rPr>
          <w:rFonts w:ascii="Times New Roman" w:hAnsi="Times New Roman" w:cs="Times New Roman"/>
          <w:sz w:val="24"/>
          <w:szCs w:val="24"/>
        </w:rPr>
        <w:t xml:space="preserve"> and how it arrives.</w:t>
      </w:r>
    </w:p>
    <w:p w:rsidR="00415C07" w:rsidRDefault="00415C07" w:rsidP="0009251A">
      <w:pPr>
        <w:jc w:val="both"/>
        <w:rPr>
          <w:rFonts w:ascii="Times New Roman" w:hAnsi="Times New Roman" w:cs="Times New Roman"/>
          <w:sz w:val="24"/>
          <w:szCs w:val="24"/>
        </w:rPr>
      </w:pPr>
      <w:r>
        <w:rPr>
          <w:rFonts w:ascii="Times New Roman" w:hAnsi="Times New Roman" w:cs="Times New Roman"/>
          <w:sz w:val="24"/>
          <w:szCs w:val="24"/>
        </w:rPr>
        <w:t>In 2013, we had a chance to investigate this issue. This, due to an Application by Enbridge Pipelines to reverse the flow of its Line 9B which runs from Hamilton to Montreal through the north end of the City of Toronto and through many other heavily populated municipalities.</w:t>
      </w:r>
    </w:p>
    <w:p w:rsidR="00415C07" w:rsidRDefault="00415C07" w:rsidP="0009251A">
      <w:pPr>
        <w:jc w:val="both"/>
        <w:rPr>
          <w:rFonts w:ascii="Times New Roman" w:hAnsi="Times New Roman" w:cs="Times New Roman"/>
          <w:sz w:val="24"/>
          <w:szCs w:val="24"/>
        </w:rPr>
      </w:pPr>
    </w:p>
    <w:p w:rsidR="00415C07" w:rsidRDefault="00415C07" w:rsidP="0009251A">
      <w:pPr>
        <w:jc w:val="both"/>
        <w:rPr>
          <w:rFonts w:ascii="Times New Roman" w:hAnsi="Times New Roman" w:cs="Times New Roman"/>
          <w:sz w:val="24"/>
          <w:szCs w:val="24"/>
        </w:rPr>
      </w:pPr>
      <w:r>
        <w:rPr>
          <w:rFonts w:ascii="Times New Roman" w:hAnsi="Times New Roman" w:cs="Times New Roman"/>
          <w:sz w:val="24"/>
          <w:szCs w:val="24"/>
        </w:rPr>
        <w:t>Line 9 ran from west to east from 1976 to 1997. The direction of flow was reversed in 1997 to reflect market conditions. In late 2012, Enbridge applied to re-reverse the Line, to reflect market changes. The Application also sought an increase in capacity by 25% (without changing operating pressures) and to allow for the transport of heavier</w:t>
      </w:r>
      <w:r w:rsidR="000C72C9">
        <w:rPr>
          <w:rFonts w:ascii="Times New Roman" w:hAnsi="Times New Roman" w:cs="Times New Roman"/>
          <w:sz w:val="24"/>
          <w:szCs w:val="24"/>
        </w:rPr>
        <w:t>, tar sands</w:t>
      </w:r>
      <w:r>
        <w:rPr>
          <w:rFonts w:ascii="Times New Roman" w:hAnsi="Times New Roman" w:cs="Times New Roman"/>
          <w:sz w:val="24"/>
          <w:szCs w:val="24"/>
        </w:rPr>
        <w:t xml:space="preserve"> crudes</w:t>
      </w:r>
      <w:r w:rsidR="000C72C9">
        <w:rPr>
          <w:rFonts w:ascii="Times New Roman" w:hAnsi="Times New Roman" w:cs="Times New Roman"/>
          <w:sz w:val="24"/>
          <w:szCs w:val="24"/>
        </w:rPr>
        <w:t>,</w:t>
      </w:r>
      <w:r>
        <w:rPr>
          <w:rFonts w:ascii="Times New Roman" w:hAnsi="Times New Roman" w:cs="Times New Roman"/>
          <w:sz w:val="24"/>
          <w:szCs w:val="24"/>
        </w:rPr>
        <w:t xml:space="preserve"> including diluted bitumen (or "</w:t>
      </w:r>
      <w:proofErr w:type="spellStart"/>
      <w:r>
        <w:rPr>
          <w:rFonts w:ascii="Times New Roman" w:hAnsi="Times New Roman" w:cs="Times New Roman"/>
          <w:sz w:val="24"/>
          <w:szCs w:val="24"/>
        </w:rPr>
        <w:t>dilbit</w:t>
      </w:r>
      <w:proofErr w:type="spellEnd"/>
      <w:r>
        <w:rPr>
          <w:rFonts w:ascii="Times New Roman" w:hAnsi="Times New Roman" w:cs="Times New Roman"/>
          <w:sz w:val="24"/>
          <w:szCs w:val="24"/>
        </w:rPr>
        <w:t>"). At the time of the Application, Line 9 had been operating for 38 years without major incident. Operation of the Line had been regulated by the National Energy Board through the entire time.</w:t>
      </w:r>
    </w:p>
    <w:p w:rsidR="00415C07" w:rsidRDefault="00415C07" w:rsidP="0009251A">
      <w:pPr>
        <w:jc w:val="both"/>
        <w:rPr>
          <w:rFonts w:ascii="Times New Roman" w:hAnsi="Times New Roman" w:cs="Times New Roman"/>
          <w:sz w:val="24"/>
          <w:szCs w:val="24"/>
        </w:rPr>
      </w:pPr>
    </w:p>
    <w:p w:rsidR="00415C07" w:rsidRDefault="00415C07" w:rsidP="0009251A">
      <w:pPr>
        <w:jc w:val="both"/>
        <w:rPr>
          <w:rFonts w:ascii="Times New Roman" w:hAnsi="Times New Roman" w:cs="Times New Roman"/>
          <w:sz w:val="24"/>
          <w:szCs w:val="24"/>
        </w:rPr>
      </w:pPr>
      <w:r>
        <w:rPr>
          <w:rFonts w:ascii="Times New Roman" w:hAnsi="Times New Roman" w:cs="Times New Roman"/>
          <w:sz w:val="24"/>
          <w:szCs w:val="24"/>
        </w:rPr>
        <w:t>The Application was notorious for several reasons:</w:t>
      </w:r>
    </w:p>
    <w:p w:rsidR="00415C07" w:rsidRDefault="00415C07" w:rsidP="0009251A">
      <w:pPr>
        <w:jc w:val="both"/>
        <w:rPr>
          <w:rFonts w:ascii="Times New Roman" w:hAnsi="Times New Roman" w:cs="Times New Roman"/>
          <w:sz w:val="24"/>
          <w:szCs w:val="24"/>
        </w:rPr>
      </w:pPr>
    </w:p>
    <w:p w:rsidR="00415C07" w:rsidRDefault="00415C07" w:rsidP="00415C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There were a number of controversial applications for new pipelines in North America (Keystone, Northern Gateway, Energy East, and others).</w:t>
      </w:r>
    </w:p>
    <w:p w:rsidR="00415C07" w:rsidRDefault="00415C07" w:rsidP="00415C07">
      <w:pPr>
        <w:pStyle w:val="ListParagraph"/>
        <w:jc w:val="both"/>
        <w:rPr>
          <w:rFonts w:ascii="Times New Roman" w:hAnsi="Times New Roman" w:cs="Times New Roman"/>
          <w:sz w:val="24"/>
          <w:szCs w:val="24"/>
        </w:rPr>
      </w:pPr>
    </w:p>
    <w:p w:rsidR="00415C07" w:rsidRPr="00415C07" w:rsidRDefault="00415C07" w:rsidP="00415C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Serious spills had </w:t>
      </w:r>
      <w:r w:rsidR="000C72C9">
        <w:rPr>
          <w:rFonts w:ascii="Times New Roman" w:hAnsi="Times New Roman" w:cs="Times New Roman"/>
          <w:sz w:val="24"/>
          <w:szCs w:val="24"/>
        </w:rPr>
        <w:t xml:space="preserve">recently </w:t>
      </w:r>
      <w:r>
        <w:rPr>
          <w:rFonts w:ascii="Times New Roman" w:hAnsi="Times New Roman" w:cs="Times New Roman"/>
          <w:sz w:val="24"/>
          <w:szCs w:val="24"/>
        </w:rPr>
        <w:t xml:space="preserve">taken place in Kalamazoo, </w:t>
      </w:r>
      <w:r w:rsidR="00D27C17">
        <w:rPr>
          <w:rFonts w:ascii="Times New Roman" w:hAnsi="Times New Roman" w:cs="Times New Roman"/>
          <w:sz w:val="24"/>
          <w:szCs w:val="24"/>
        </w:rPr>
        <w:t>Michigan</w:t>
      </w:r>
      <w:r w:rsidR="000C72C9">
        <w:rPr>
          <w:rFonts w:ascii="Times New Roman" w:hAnsi="Times New Roman" w:cs="Times New Roman"/>
          <w:sz w:val="24"/>
          <w:szCs w:val="24"/>
        </w:rPr>
        <w:t>,</w:t>
      </w:r>
      <w:r w:rsidR="00D27C17">
        <w:rPr>
          <w:rFonts w:ascii="Times New Roman" w:hAnsi="Times New Roman" w:cs="Times New Roman"/>
          <w:sz w:val="24"/>
          <w:szCs w:val="24"/>
        </w:rPr>
        <w:t xml:space="preserve"> where Enbridge's Line 6</w:t>
      </w:r>
      <w:r>
        <w:rPr>
          <w:rFonts w:ascii="Times New Roman" w:hAnsi="Times New Roman" w:cs="Times New Roman"/>
          <w:sz w:val="24"/>
          <w:szCs w:val="24"/>
        </w:rPr>
        <w:t xml:space="preserve"> ruptured in 2010; and </w:t>
      </w:r>
      <w:r w:rsidR="000C72C9">
        <w:rPr>
          <w:rFonts w:ascii="Times New Roman" w:hAnsi="Times New Roman" w:cs="Times New Roman"/>
          <w:sz w:val="24"/>
          <w:szCs w:val="24"/>
        </w:rPr>
        <w:t xml:space="preserve">in </w:t>
      </w:r>
      <w:r>
        <w:rPr>
          <w:rFonts w:ascii="Times New Roman" w:hAnsi="Times New Roman" w:cs="Times New Roman"/>
          <w:sz w:val="24"/>
          <w:szCs w:val="24"/>
        </w:rPr>
        <w:t>the Lac-</w:t>
      </w:r>
      <w:proofErr w:type="spellStart"/>
      <w:r w:rsidRPr="00415C07">
        <w:rPr>
          <w:rFonts w:ascii="Times New Roman" w:hAnsi="Times New Roman" w:cs="Times New Roman"/>
          <w:bCs/>
          <w:kern w:val="36"/>
          <w:sz w:val="24"/>
          <w:szCs w:val="24"/>
        </w:rPr>
        <w:t>Mégantic</w:t>
      </w:r>
      <w:proofErr w:type="spellEnd"/>
      <w:r>
        <w:rPr>
          <w:rFonts w:ascii="Times New Roman" w:hAnsi="Times New Roman" w:cs="Times New Roman"/>
          <w:bCs/>
          <w:kern w:val="36"/>
          <w:sz w:val="24"/>
          <w:szCs w:val="24"/>
        </w:rPr>
        <w:t xml:space="preserve"> tragedy from 2013.</w:t>
      </w:r>
    </w:p>
    <w:p w:rsidR="00415C07" w:rsidRDefault="00415C07" w:rsidP="00415C07">
      <w:pPr>
        <w:jc w:val="both"/>
        <w:rPr>
          <w:rFonts w:ascii="Times New Roman" w:hAnsi="Times New Roman" w:cs="Times New Roman"/>
          <w:sz w:val="24"/>
          <w:szCs w:val="24"/>
        </w:rPr>
      </w:pPr>
    </w:p>
    <w:p w:rsidR="00415C07" w:rsidRDefault="00415C07" w:rsidP="00415C07">
      <w:pPr>
        <w:jc w:val="both"/>
        <w:rPr>
          <w:rFonts w:ascii="Times New Roman" w:hAnsi="Times New Roman" w:cs="Times New Roman"/>
          <w:sz w:val="24"/>
          <w:szCs w:val="24"/>
        </w:rPr>
      </w:pPr>
      <w:r>
        <w:rPr>
          <w:rFonts w:ascii="Times New Roman" w:hAnsi="Times New Roman" w:cs="Times New Roman"/>
          <w:sz w:val="24"/>
          <w:szCs w:val="24"/>
        </w:rPr>
        <w:t>As a result, the Line 9 Application received considerable attention. A number of municipalities were involved</w:t>
      </w:r>
      <w:r w:rsidR="000C72C9">
        <w:rPr>
          <w:rFonts w:ascii="Times New Roman" w:hAnsi="Times New Roman" w:cs="Times New Roman"/>
          <w:sz w:val="24"/>
          <w:szCs w:val="24"/>
        </w:rPr>
        <w:t>,</w:t>
      </w:r>
      <w:r>
        <w:rPr>
          <w:rFonts w:ascii="Times New Roman" w:hAnsi="Times New Roman" w:cs="Times New Roman"/>
          <w:sz w:val="24"/>
          <w:szCs w:val="24"/>
        </w:rPr>
        <w:t xml:space="preserve"> including the City of Toronto. Issu</w:t>
      </w:r>
      <w:r w:rsidR="00D27C17">
        <w:rPr>
          <w:rFonts w:ascii="Times New Roman" w:hAnsi="Times New Roman" w:cs="Times New Roman"/>
          <w:sz w:val="24"/>
          <w:szCs w:val="24"/>
        </w:rPr>
        <w:t xml:space="preserve">es raised by municipal </w:t>
      </w:r>
      <w:proofErr w:type="spellStart"/>
      <w:r w:rsidR="00D27C17">
        <w:rPr>
          <w:rFonts w:ascii="Times New Roman" w:hAnsi="Times New Roman" w:cs="Times New Roman"/>
          <w:sz w:val="24"/>
          <w:szCs w:val="24"/>
        </w:rPr>
        <w:t>interven</w:t>
      </w:r>
      <w:r>
        <w:rPr>
          <w:rFonts w:ascii="Times New Roman" w:hAnsi="Times New Roman" w:cs="Times New Roman"/>
          <w:sz w:val="24"/>
          <w:szCs w:val="24"/>
        </w:rPr>
        <w:t>ors</w:t>
      </w:r>
      <w:proofErr w:type="spellEnd"/>
      <w:r>
        <w:rPr>
          <w:rFonts w:ascii="Times New Roman" w:hAnsi="Times New Roman" w:cs="Times New Roman"/>
          <w:sz w:val="24"/>
          <w:szCs w:val="24"/>
        </w:rPr>
        <w:t xml:space="preserve"> (and others) included:</w:t>
      </w:r>
    </w:p>
    <w:p w:rsidR="00415C07" w:rsidRDefault="00415C07" w:rsidP="00415C07">
      <w:pPr>
        <w:jc w:val="both"/>
        <w:rPr>
          <w:rFonts w:ascii="Times New Roman" w:hAnsi="Times New Roman" w:cs="Times New Roman"/>
          <w:sz w:val="24"/>
          <w:szCs w:val="24"/>
        </w:rPr>
      </w:pPr>
    </w:p>
    <w:p w:rsidR="00415C07" w:rsidRDefault="00644D75" w:rsidP="00415C0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Pipeline integrity;</w:t>
      </w:r>
    </w:p>
    <w:p w:rsidR="00644D75" w:rsidRDefault="00644D75" w:rsidP="00644D75">
      <w:pPr>
        <w:pStyle w:val="ListParagraph"/>
        <w:jc w:val="both"/>
        <w:rPr>
          <w:rFonts w:ascii="Times New Roman" w:hAnsi="Times New Roman" w:cs="Times New Roman"/>
          <w:sz w:val="24"/>
          <w:szCs w:val="24"/>
        </w:rPr>
      </w:pPr>
    </w:p>
    <w:p w:rsidR="00644D75" w:rsidRDefault="00644D75" w:rsidP="00415C0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Emergency preparedness; and</w:t>
      </w:r>
    </w:p>
    <w:p w:rsidR="00644D75" w:rsidRDefault="00644D75" w:rsidP="00644D75">
      <w:pPr>
        <w:pStyle w:val="ListParagraph"/>
        <w:jc w:val="both"/>
        <w:rPr>
          <w:rFonts w:ascii="Times New Roman" w:hAnsi="Times New Roman" w:cs="Times New Roman"/>
          <w:sz w:val="24"/>
          <w:szCs w:val="24"/>
        </w:rPr>
      </w:pPr>
    </w:p>
    <w:p w:rsidR="00644D75" w:rsidRDefault="00644D75" w:rsidP="00644D7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Financial assurance.</w:t>
      </w:r>
    </w:p>
    <w:p w:rsidR="00644D75" w:rsidRDefault="00644D75" w:rsidP="00644D75">
      <w:pPr>
        <w:jc w:val="both"/>
        <w:rPr>
          <w:rFonts w:ascii="Times New Roman" w:hAnsi="Times New Roman" w:cs="Times New Roman"/>
          <w:sz w:val="24"/>
          <w:szCs w:val="24"/>
        </w:rPr>
      </w:pPr>
    </w:p>
    <w:p w:rsidR="00644D75" w:rsidRDefault="00644D75" w:rsidP="00644D75">
      <w:pPr>
        <w:jc w:val="both"/>
        <w:rPr>
          <w:rFonts w:ascii="Times New Roman" w:hAnsi="Times New Roman" w:cs="Times New Roman"/>
          <w:sz w:val="24"/>
          <w:szCs w:val="24"/>
        </w:rPr>
      </w:pPr>
      <w:r>
        <w:rPr>
          <w:rFonts w:ascii="Times New Roman" w:hAnsi="Times New Roman" w:cs="Times New Roman"/>
          <w:sz w:val="24"/>
          <w:szCs w:val="24"/>
        </w:rPr>
        <w:t>Municipalities will be affected in the event of a major spill</w:t>
      </w:r>
      <w:r w:rsidR="000C72C9">
        <w:rPr>
          <w:rFonts w:ascii="Times New Roman" w:hAnsi="Times New Roman" w:cs="Times New Roman"/>
          <w:sz w:val="24"/>
          <w:szCs w:val="24"/>
        </w:rPr>
        <w:t>,</w:t>
      </w:r>
      <w:r>
        <w:rPr>
          <w:rFonts w:ascii="Times New Roman" w:hAnsi="Times New Roman" w:cs="Times New Roman"/>
          <w:sz w:val="24"/>
          <w:szCs w:val="24"/>
        </w:rPr>
        <w:t xml:space="preserve"> including </w:t>
      </w:r>
      <w:r w:rsidR="000C72C9">
        <w:rPr>
          <w:rFonts w:ascii="Times New Roman" w:hAnsi="Times New Roman" w:cs="Times New Roman"/>
          <w:sz w:val="24"/>
          <w:szCs w:val="24"/>
        </w:rPr>
        <w:t>the</w:t>
      </w:r>
      <w:r w:rsidR="006E2CE0">
        <w:rPr>
          <w:rFonts w:ascii="Times New Roman" w:hAnsi="Times New Roman" w:cs="Times New Roman"/>
          <w:sz w:val="24"/>
          <w:szCs w:val="24"/>
        </w:rPr>
        <w:t xml:space="preserve"> </w:t>
      </w:r>
      <w:r>
        <w:rPr>
          <w:rFonts w:ascii="Times New Roman" w:hAnsi="Times New Roman" w:cs="Times New Roman"/>
          <w:sz w:val="24"/>
          <w:szCs w:val="24"/>
        </w:rPr>
        <w:t>costs incurred in responding to a spill</w:t>
      </w:r>
      <w:r w:rsidR="00763168">
        <w:rPr>
          <w:rFonts w:ascii="Times New Roman" w:hAnsi="Times New Roman" w:cs="Times New Roman"/>
          <w:sz w:val="24"/>
          <w:szCs w:val="24"/>
        </w:rPr>
        <w:t>,</w:t>
      </w:r>
      <w:r>
        <w:rPr>
          <w:rFonts w:ascii="Times New Roman" w:hAnsi="Times New Roman" w:cs="Times New Roman"/>
          <w:sz w:val="24"/>
          <w:szCs w:val="24"/>
        </w:rPr>
        <w:t xml:space="preserve"> and</w:t>
      </w:r>
      <w:r w:rsidR="000C72C9">
        <w:rPr>
          <w:rFonts w:ascii="Times New Roman" w:hAnsi="Times New Roman" w:cs="Times New Roman"/>
          <w:sz w:val="24"/>
          <w:szCs w:val="24"/>
        </w:rPr>
        <w:t>,</w:t>
      </w:r>
      <w:r>
        <w:rPr>
          <w:rFonts w:ascii="Times New Roman" w:hAnsi="Times New Roman" w:cs="Times New Roman"/>
          <w:sz w:val="24"/>
          <w:szCs w:val="24"/>
        </w:rPr>
        <w:t xml:space="preserve"> damage to municipal property and infrastructure. The Kalamazoo, Michigan incident is reported to have cost over $1 billion to date, and cleanup </w:t>
      </w:r>
      <w:r w:rsidR="000C72C9">
        <w:rPr>
          <w:rFonts w:ascii="Times New Roman" w:hAnsi="Times New Roman" w:cs="Times New Roman"/>
          <w:sz w:val="24"/>
          <w:szCs w:val="24"/>
        </w:rPr>
        <w:t xml:space="preserve">was </w:t>
      </w:r>
      <w:r>
        <w:rPr>
          <w:rFonts w:ascii="Times New Roman" w:hAnsi="Times New Roman" w:cs="Times New Roman"/>
          <w:sz w:val="24"/>
          <w:szCs w:val="24"/>
        </w:rPr>
        <w:t>still underway late in 2013.</w:t>
      </w:r>
    </w:p>
    <w:p w:rsidR="00644D75" w:rsidRDefault="00644D75" w:rsidP="00644D75">
      <w:pPr>
        <w:jc w:val="both"/>
        <w:rPr>
          <w:rFonts w:ascii="Times New Roman" w:hAnsi="Times New Roman" w:cs="Times New Roman"/>
          <w:sz w:val="24"/>
          <w:szCs w:val="24"/>
        </w:rPr>
      </w:pPr>
    </w:p>
    <w:p w:rsidR="00644D75" w:rsidRDefault="00CC05E9" w:rsidP="00644D75">
      <w:pPr>
        <w:jc w:val="both"/>
        <w:rPr>
          <w:rFonts w:ascii="Times New Roman" w:hAnsi="Times New Roman" w:cs="Times New Roman"/>
          <w:sz w:val="24"/>
          <w:szCs w:val="24"/>
        </w:rPr>
      </w:pPr>
      <w:r>
        <w:rPr>
          <w:rFonts w:ascii="Times New Roman" w:hAnsi="Times New Roman" w:cs="Times New Roman"/>
          <w:sz w:val="24"/>
          <w:szCs w:val="24"/>
        </w:rPr>
        <w:t>At the end of the Line 9B H</w:t>
      </w:r>
      <w:r w:rsidR="00644D75">
        <w:rPr>
          <w:rFonts w:ascii="Times New Roman" w:hAnsi="Times New Roman" w:cs="Times New Roman"/>
          <w:sz w:val="24"/>
          <w:szCs w:val="24"/>
        </w:rPr>
        <w:t xml:space="preserve">earing, the project was approved with </w:t>
      </w:r>
      <w:r>
        <w:rPr>
          <w:rFonts w:ascii="Times New Roman" w:hAnsi="Times New Roman" w:cs="Times New Roman"/>
          <w:sz w:val="24"/>
          <w:szCs w:val="24"/>
        </w:rPr>
        <w:t xml:space="preserve">certain conditions. </w:t>
      </w:r>
      <w:r w:rsidR="006E2CE0">
        <w:rPr>
          <w:rFonts w:ascii="Times New Roman" w:hAnsi="Times New Roman" w:cs="Times New Roman"/>
          <w:sz w:val="24"/>
          <w:szCs w:val="24"/>
        </w:rPr>
        <w:t>S</w:t>
      </w:r>
      <w:r>
        <w:rPr>
          <w:rFonts w:ascii="Times New Roman" w:hAnsi="Times New Roman" w:cs="Times New Roman"/>
          <w:sz w:val="24"/>
          <w:szCs w:val="24"/>
        </w:rPr>
        <w:t>ome of t</w:t>
      </w:r>
      <w:r w:rsidR="006E2CE0">
        <w:rPr>
          <w:rFonts w:ascii="Times New Roman" w:hAnsi="Times New Roman" w:cs="Times New Roman"/>
          <w:sz w:val="24"/>
          <w:szCs w:val="24"/>
        </w:rPr>
        <w:t>he main outcomes of the Hearing</w:t>
      </w:r>
      <w:r>
        <w:rPr>
          <w:rFonts w:ascii="Times New Roman" w:hAnsi="Times New Roman" w:cs="Times New Roman"/>
          <w:sz w:val="24"/>
          <w:szCs w:val="24"/>
        </w:rPr>
        <w:t xml:space="preserve"> includ</w:t>
      </w:r>
      <w:r w:rsidR="006E2CE0">
        <w:rPr>
          <w:rFonts w:ascii="Times New Roman" w:hAnsi="Times New Roman" w:cs="Times New Roman"/>
          <w:sz w:val="24"/>
          <w:szCs w:val="24"/>
        </w:rPr>
        <w:t>ed</w:t>
      </w:r>
      <w:r>
        <w:rPr>
          <w:rFonts w:ascii="Times New Roman" w:hAnsi="Times New Roman" w:cs="Times New Roman"/>
          <w:sz w:val="24"/>
          <w:szCs w:val="24"/>
        </w:rPr>
        <w:t>:</w:t>
      </w:r>
    </w:p>
    <w:p w:rsidR="00CC05E9" w:rsidRDefault="00CC05E9" w:rsidP="00644D75">
      <w:pPr>
        <w:jc w:val="both"/>
        <w:rPr>
          <w:rFonts w:ascii="Times New Roman" w:hAnsi="Times New Roman" w:cs="Times New Roman"/>
          <w:sz w:val="24"/>
          <w:szCs w:val="24"/>
        </w:rPr>
      </w:pPr>
    </w:p>
    <w:p w:rsidR="00CC05E9" w:rsidRDefault="00763168" w:rsidP="00CC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conclusion</w:t>
      </w:r>
      <w:r w:rsidR="00CC05E9">
        <w:rPr>
          <w:rFonts w:ascii="Times New Roman" w:hAnsi="Times New Roman" w:cs="Times New Roman"/>
          <w:sz w:val="24"/>
          <w:szCs w:val="24"/>
        </w:rPr>
        <w:t xml:space="preserve"> that, with updated engineering measures, pipeline integrity can be managed.</w:t>
      </w:r>
    </w:p>
    <w:p w:rsidR="00CC05E9" w:rsidRDefault="00CC05E9" w:rsidP="00CC05E9">
      <w:pPr>
        <w:pStyle w:val="ListParagraph"/>
        <w:jc w:val="both"/>
        <w:rPr>
          <w:rFonts w:ascii="Times New Roman" w:hAnsi="Times New Roman" w:cs="Times New Roman"/>
          <w:sz w:val="24"/>
          <w:szCs w:val="24"/>
        </w:rPr>
      </w:pPr>
    </w:p>
    <w:p w:rsidR="00CC05E9" w:rsidRDefault="00763168" w:rsidP="00CC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requirement that e</w:t>
      </w:r>
      <w:r w:rsidR="00CC05E9">
        <w:rPr>
          <w:rFonts w:ascii="Times New Roman" w:hAnsi="Times New Roman" w:cs="Times New Roman"/>
          <w:sz w:val="24"/>
          <w:szCs w:val="24"/>
        </w:rPr>
        <w:t>mergency plans be updated with input from municipal emergency responders and others.</w:t>
      </w:r>
    </w:p>
    <w:p w:rsidR="00CC05E9" w:rsidRDefault="00CC05E9" w:rsidP="00CC05E9">
      <w:pPr>
        <w:pStyle w:val="ListParagraph"/>
        <w:jc w:val="both"/>
        <w:rPr>
          <w:rFonts w:ascii="Times New Roman" w:hAnsi="Times New Roman" w:cs="Times New Roman"/>
          <w:sz w:val="24"/>
          <w:szCs w:val="24"/>
        </w:rPr>
      </w:pPr>
    </w:p>
    <w:p w:rsidR="00CC05E9" w:rsidRDefault="00CC05E9" w:rsidP="00CC05E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w:t>
      </w:r>
      <w:r w:rsidR="00763168">
        <w:rPr>
          <w:rFonts w:ascii="Times New Roman" w:hAnsi="Times New Roman" w:cs="Times New Roman"/>
          <w:sz w:val="24"/>
          <w:szCs w:val="24"/>
        </w:rPr>
        <w:t xml:space="preserve"> fact that</w:t>
      </w:r>
      <w:r>
        <w:rPr>
          <w:rFonts w:ascii="Times New Roman" w:hAnsi="Times New Roman" w:cs="Times New Roman"/>
          <w:sz w:val="24"/>
          <w:szCs w:val="24"/>
        </w:rPr>
        <w:t xml:space="preserve"> NEB did not impose additional financial assurance requirements.</w:t>
      </w:r>
    </w:p>
    <w:p w:rsidR="00CC05E9" w:rsidRDefault="00CC05E9" w:rsidP="00CC05E9">
      <w:pPr>
        <w:jc w:val="both"/>
        <w:rPr>
          <w:rFonts w:ascii="Times New Roman" w:hAnsi="Times New Roman" w:cs="Times New Roman"/>
          <w:sz w:val="24"/>
          <w:szCs w:val="24"/>
        </w:rPr>
      </w:pPr>
    </w:p>
    <w:p w:rsidR="00CC05E9" w:rsidRDefault="00CC05E9" w:rsidP="00CC05E9">
      <w:pPr>
        <w:jc w:val="both"/>
        <w:rPr>
          <w:rFonts w:ascii="Times New Roman" w:hAnsi="Times New Roman" w:cs="Times New Roman"/>
          <w:sz w:val="24"/>
          <w:szCs w:val="24"/>
        </w:rPr>
      </w:pPr>
      <w:r>
        <w:rPr>
          <w:rFonts w:ascii="Times New Roman" w:hAnsi="Times New Roman" w:cs="Times New Roman"/>
          <w:sz w:val="24"/>
          <w:szCs w:val="24"/>
        </w:rPr>
        <w:t>The City of Toronto and others had requested confirmation that up to $1 billion in financial assurance was available. The Government of Canada had indicated in 2013 that regulations to this effect would be promulgated. Nonetheless, the NEB di</w:t>
      </w:r>
      <w:r w:rsidR="000C72C9">
        <w:rPr>
          <w:rFonts w:ascii="Times New Roman" w:hAnsi="Times New Roman" w:cs="Times New Roman"/>
          <w:sz w:val="24"/>
          <w:szCs w:val="24"/>
        </w:rPr>
        <w:t>d not impose that requirement on</w:t>
      </w:r>
      <w:r>
        <w:rPr>
          <w:rFonts w:ascii="Times New Roman" w:hAnsi="Times New Roman" w:cs="Times New Roman"/>
          <w:sz w:val="24"/>
          <w:szCs w:val="24"/>
        </w:rPr>
        <w:t xml:space="preserve"> Enbridge (although one Board member dissented on this point). On May 14, 2014, the new Minister of Natural Resources, the Hono</w:t>
      </w:r>
      <w:r w:rsidR="000C72C9">
        <w:rPr>
          <w:rFonts w:ascii="Times New Roman" w:hAnsi="Times New Roman" w:cs="Times New Roman"/>
          <w:sz w:val="24"/>
          <w:szCs w:val="24"/>
        </w:rPr>
        <w:t>u</w:t>
      </w:r>
      <w:r>
        <w:rPr>
          <w:rFonts w:ascii="Times New Roman" w:hAnsi="Times New Roman" w:cs="Times New Roman"/>
          <w:sz w:val="24"/>
          <w:szCs w:val="24"/>
        </w:rPr>
        <w:t xml:space="preserve">rable Gregory </w:t>
      </w:r>
      <w:proofErr w:type="spellStart"/>
      <w:r>
        <w:rPr>
          <w:rFonts w:ascii="Times New Roman" w:hAnsi="Times New Roman" w:cs="Times New Roman"/>
          <w:sz w:val="24"/>
          <w:szCs w:val="24"/>
        </w:rPr>
        <w:t>Rickford</w:t>
      </w:r>
      <w:proofErr w:type="spellEnd"/>
      <w:r>
        <w:rPr>
          <w:rFonts w:ascii="Times New Roman" w:hAnsi="Times New Roman" w:cs="Times New Roman"/>
          <w:sz w:val="24"/>
          <w:szCs w:val="24"/>
        </w:rPr>
        <w:t>, announced financial assurance and other measures to provide financial assurance. To date, no regulations or statutory amendments have been promulgated.</w:t>
      </w:r>
    </w:p>
    <w:p w:rsidR="00CC05E9" w:rsidRDefault="00CC05E9" w:rsidP="00CC05E9">
      <w:pPr>
        <w:jc w:val="both"/>
        <w:rPr>
          <w:rFonts w:ascii="Times New Roman" w:hAnsi="Times New Roman" w:cs="Times New Roman"/>
          <w:sz w:val="24"/>
          <w:szCs w:val="24"/>
        </w:rPr>
      </w:pPr>
    </w:p>
    <w:p w:rsidR="009A4A50" w:rsidRDefault="00D27C17" w:rsidP="009A4A50">
      <w:pPr>
        <w:jc w:val="both"/>
        <w:rPr>
          <w:rFonts w:ascii="Times New Roman" w:hAnsi="Times New Roman" w:cs="Times New Roman"/>
          <w:sz w:val="24"/>
          <w:szCs w:val="24"/>
        </w:rPr>
      </w:pPr>
      <w:r>
        <w:rPr>
          <w:rFonts w:ascii="Times New Roman" w:hAnsi="Times New Roman" w:cs="Times New Roman"/>
          <w:sz w:val="24"/>
          <w:szCs w:val="24"/>
        </w:rPr>
        <w:t>The panel will discuss the cost and value of intervention in these cases and, more generally, the scope of municipal liability in the event of a major spill.</w:t>
      </w:r>
      <w:r w:rsidR="009A4A50">
        <w:rPr>
          <w:rFonts w:ascii="Times New Roman" w:hAnsi="Times New Roman" w:cs="Times New Roman"/>
          <w:sz w:val="24"/>
          <w:szCs w:val="24"/>
        </w:rPr>
        <w:t xml:space="preserve"> Clearly, there was and is a municipal interest in these issues. Participation in the NEB process comes at a price though, especially where it is necessary to retain expert assistance.</w:t>
      </w:r>
    </w:p>
    <w:p w:rsidR="00D27C17" w:rsidRDefault="00D27C17" w:rsidP="00CC05E9">
      <w:pPr>
        <w:jc w:val="both"/>
        <w:rPr>
          <w:rFonts w:ascii="Times New Roman" w:hAnsi="Times New Roman" w:cs="Times New Roman"/>
          <w:sz w:val="24"/>
          <w:szCs w:val="24"/>
        </w:rPr>
      </w:pPr>
    </w:p>
    <w:p w:rsidR="00D27C17" w:rsidRDefault="00D27C17" w:rsidP="00CC05E9">
      <w:pPr>
        <w:jc w:val="both"/>
        <w:rPr>
          <w:rFonts w:ascii="Times New Roman" w:hAnsi="Times New Roman" w:cs="Times New Roman"/>
          <w:b/>
          <w:i/>
          <w:sz w:val="24"/>
          <w:szCs w:val="24"/>
        </w:rPr>
      </w:pPr>
      <w:r>
        <w:rPr>
          <w:rFonts w:ascii="Times New Roman" w:hAnsi="Times New Roman" w:cs="Times New Roman"/>
          <w:b/>
          <w:i/>
          <w:sz w:val="24"/>
          <w:szCs w:val="24"/>
        </w:rPr>
        <w:t>Liability Associated with the Management of Excess Soils</w:t>
      </w:r>
    </w:p>
    <w:p w:rsidR="00D27C17" w:rsidRDefault="00D27C17" w:rsidP="00CC05E9">
      <w:pPr>
        <w:jc w:val="both"/>
        <w:rPr>
          <w:rFonts w:ascii="Times New Roman" w:hAnsi="Times New Roman" w:cs="Times New Roman"/>
          <w:b/>
          <w:i/>
          <w:sz w:val="24"/>
          <w:szCs w:val="24"/>
        </w:rPr>
      </w:pPr>
    </w:p>
    <w:p w:rsidR="00D27C17" w:rsidRDefault="00D27C17" w:rsidP="00CC05E9">
      <w:pPr>
        <w:jc w:val="both"/>
        <w:rPr>
          <w:rFonts w:ascii="Times New Roman" w:hAnsi="Times New Roman" w:cs="Times New Roman"/>
          <w:sz w:val="24"/>
          <w:szCs w:val="24"/>
        </w:rPr>
      </w:pPr>
      <w:r>
        <w:rPr>
          <w:rFonts w:ascii="Times New Roman" w:hAnsi="Times New Roman" w:cs="Times New Roman"/>
          <w:sz w:val="24"/>
          <w:szCs w:val="24"/>
        </w:rPr>
        <w:t>The proper transportation and management of excess soils and other fill materials provides a number of challenges:</w:t>
      </w:r>
    </w:p>
    <w:p w:rsidR="00D27C17" w:rsidRDefault="00D27C17" w:rsidP="00CC05E9">
      <w:pPr>
        <w:jc w:val="both"/>
        <w:rPr>
          <w:rFonts w:ascii="Times New Roman" w:hAnsi="Times New Roman" w:cs="Times New Roman"/>
          <w:sz w:val="24"/>
          <w:szCs w:val="24"/>
        </w:rPr>
      </w:pPr>
    </w:p>
    <w:p w:rsidR="00D27C17" w:rsidRDefault="00D27C17" w:rsidP="00D27C1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Nuisance impact</w:t>
      </w:r>
      <w:r w:rsidR="009A4A50">
        <w:rPr>
          <w:rFonts w:ascii="Times New Roman" w:hAnsi="Times New Roman" w:cs="Times New Roman"/>
          <w:sz w:val="24"/>
          <w:szCs w:val="24"/>
        </w:rPr>
        <w:t>;</w:t>
      </w:r>
    </w:p>
    <w:p w:rsidR="009A4A50" w:rsidRDefault="009A4A50" w:rsidP="009A4A50">
      <w:pPr>
        <w:pStyle w:val="ListParagraph"/>
        <w:jc w:val="both"/>
        <w:rPr>
          <w:rFonts w:ascii="Times New Roman" w:hAnsi="Times New Roman" w:cs="Times New Roman"/>
          <w:sz w:val="24"/>
          <w:szCs w:val="24"/>
        </w:rPr>
      </w:pPr>
    </w:p>
    <w:p w:rsidR="009A4A50" w:rsidRDefault="009A4A50" w:rsidP="00D27C1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Potential environmental impact; and</w:t>
      </w:r>
    </w:p>
    <w:p w:rsidR="009A4A50" w:rsidRDefault="009A4A50" w:rsidP="009A4A50">
      <w:pPr>
        <w:pStyle w:val="ListParagraph"/>
        <w:jc w:val="both"/>
        <w:rPr>
          <w:rFonts w:ascii="Times New Roman" w:hAnsi="Times New Roman" w:cs="Times New Roman"/>
          <w:sz w:val="24"/>
          <w:szCs w:val="24"/>
        </w:rPr>
      </w:pPr>
    </w:p>
    <w:p w:rsidR="009A4A50" w:rsidRDefault="009A4A50" w:rsidP="00D27C1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C72C9">
        <w:rPr>
          <w:rFonts w:ascii="Times New Roman" w:hAnsi="Times New Roman" w:cs="Times New Roman"/>
          <w:sz w:val="24"/>
          <w:szCs w:val="24"/>
        </w:rPr>
        <w:t>proper</w:t>
      </w:r>
      <w:r>
        <w:rPr>
          <w:rFonts w:ascii="Times New Roman" w:hAnsi="Times New Roman" w:cs="Times New Roman"/>
          <w:sz w:val="24"/>
          <w:szCs w:val="24"/>
        </w:rPr>
        <w:t xml:space="preserve"> disposal of soil as waste</w:t>
      </w:r>
      <w:r w:rsidR="000C72C9">
        <w:rPr>
          <w:rFonts w:ascii="Times New Roman" w:hAnsi="Times New Roman" w:cs="Times New Roman"/>
          <w:sz w:val="24"/>
          <w:szCs w:val="24"/>
        </w:rPr>
        <w:t xml:space="preserve"> where appropriate</w:t>
      </w:r>
      <w:r>
        <w:rPr>
          <w:rFonts w:ascii="Times New Roman" w:hAnsi="Times New Roman" w:cs="Times New Roman"/>
          <w:sz w:val="24"/>
          <w:szCs w:val="24"/>
        </w:rPr>
        <w:t>.</w:t>
      </w:r>
    </w:p>
    <w:p w:rsidR="009A4A50" w:rsidRDefault="009A4A50" w:rsidP="009A4A50">
      <w:pPr>
        <w:jc w:val="both"/>
        <w:rPr>
          <w:rFonts w:ascii="Times New Roman" w:hAnsi="Times New Roman" w:cs="Times New Roman"/>
          <w:sz w:val="24"/>
          <w:szCs w:val="24"/>
        </w:rPr>
      </w:pPr>
    </w:p>
    <w:p w:rsidR="009A4A50" w:rsidRDefault="009A4A50" w:rsidP="009A4A50">
      <w:pPr>
        <w:jc w:val="both"/>
        <w:rPr>
          <w:rFonts w:ascii="Times New Roman" w:hAnsi="Times New Roman" w:cs="Times New Roman"/>
          <w:sz w:val="24"/>
          <w:szCs w:val="24"/>
        </w:rPr>
      </w:pPr>
      <w:r>
        <w:rPr>
          <w:rFonts w:ascii="Times New Roman" w:hAnsi="Times New Roman" w:cs="Times New Roman"/>
          <w:sz w:val="24"/>
          <w:szCs w:val="24"/>
        </w:rPr>
        <w:t xml:space="preserve">Nuisance impacts may be addressed </w:t>
      </w:r>
      <w:r w:rsidR="00342B62">
        <w:rPr>
          <w:rFonts w:ascii="Times New Roman" w:hAnsi="Times New Roman" w:cs="Times New Roman"/>
          <w:sz w:val="24"/>
          <w:szCs w:val="24"/>
        </w:rPr>
        <w:t>through site alteration by-laws, which permit municipalities to govern the placement of fill within their jurisdiction.</w:t>
      </w:r>
    </w:p>
    <w:p w:rsidR="00342B62" w:rsidRDefault="00342B62" w:rsidP="009A4A50">
      <w:pPr>
        <w:jc w:val="both"/>
        <w:rPr>
          <w:rFonts w:ascii="Times New Roman" w:hAnsi="Times New Roman" w:cs="Times New Roman"/>
          <w:sz w:val="24"/>
          <w:szCs w:val="24"/>
        </w:rPr>
      </w:pPr>
    </w:p>
    <w:p w:rsidR="00342B62" w:rsidRDefault="00342B62" w:rsidP="009A4A50">
      <w:pPr>
        <w:jc w:val="both"/>
        <w:rPr>
          <w:rFonts w:ascii="Times New Roman" w:hAnsi="Times New Roman" w:cs="Times New Roman"/>
          <w:sz w:val="24"/>
          <w:szCs w:val="24"/>
        </w:rPr>
      </w:pPr>
      <w:r>
        <w:rPr>
          <w:rFonts w:ascii="Times New Roman" w:hAnsi="Times New Roman" w:cs="Times New Roman"/>
          <w:sz w:val="24"/>
          <w:szCs w:val="24"/>
        </w:rPr>
        <w:t xml:space="preserve">Environmental impacts are generally addressed through the waste provisions contained within the Ontario </w:t>
      </w:r>
      <w:r w:rsidRPr="00342B62">
        <w:rPr>
          <w:rFonts w:ascii="Times New Roman" w:hAnsi="Times New Roman" w:cs="Times New Roman"/>
          <w:i/>
          <w:sz w:val="24"/>
          <w:szCs w:val="24"/>
        </w:rPr>
        <w:t>Environmental Protection Act</w:t>
      </w:r>
      <w:r>
        <w:rPr>
          <w:rFonts w:ascii="Times New Roman" w:hAnsi="Times New Roman" w:cs="Times New Roman"/>
          <w:sz w:val="24"/>
          <w:szCs w:val="24"/>
        </w:rPr>
        <w:t>.</w:t>
      </w:r>
    </w:p>
    <w:p w:rsidR="00342B62" w:rsidRDefault="00342B62" w:rsidP="009A4A50">
      <w:pPr>
        <w:jc w:val="both"/>
        <w:rPr>
          <w:rFonts w:ascii="Times New Roman" w:hAnsi="Times New Roman" w:cs="Times New Roman"/>
          <w:sz w:val="24"/>
          <w:szCs w:val="24"/>
        </w:rPr>
      </w:pPr>
    </w:p>
    <w:p w:rsidR="00342B62" w:rsidRDefault="00342B62" w:rsidP="009A4A50">
      <w:pPr>
        <w:jc w:val="both"/>
        <w:rPr>
          <w:rFonts w:ascii="Times New Roman" w:hAnsi="Times New Roman" w:cs="Times New Roman"/>
          <w:sz w:val="24"/>
          <w:szCs w:val="24"/>
        </w:rPr>
      </w:pPr>
      <w:r>
        <w:rPr>
          <w:rFonts w:ascii="Times New Roman" w:hAnsi="Times New Roman" w:cs="Times New Roman"/>
          <w:sz w:val="24"/>
          <w:szCs w:val="24"/>
        </w:rPr>
        <w:t>There has been a recognized need for some time to provide rules governing the management of excess soils. Although the Ministry of the Environment had been consulting on proposed regulatory amendments to address this issue since the late 1990s, these measures were not finalized until 2014. The long awaited regulation, though, came in the form of a guideline: Management of Excess Soil – A Guide for Best Management Practices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"Guide").</w:t>
      </w:r>
    </w:p>
    <w:p w:rsidR="00342B62" w:rsidRDefault="00342B62" w:rsidP="009A4A50">
      <w:pPr>
        <w:jc w:val="both"/>
        <w:rPr>
          <w:rFonts w:ascii="Times New Roman" w:hAnsi="Times New Roman" w:cs="Times New Roman"/>
          <w:sz w:val="24"/>
          <w:szCs w:val="24"/>
        </w:rPr>
      </w:pPr>
    </w:p>
    <w:p w:rsidR="00342B62" w:rsidRDefault="00342B62" w:rsidP="009A4A50">
      <w:pPr>
        <w:jc w:val="both"/>
        <w:rPr>
          <w:rFonts w:ascii="Times New Roman" w:hAnsi="Times New Roman" w:cs="Times New Roman"/>
          <w:sz w:val="24"/>
          <w:szCs w:val="24"/>
        </w:rPr>
      </w:pPr>
      <w:r>
        <w:rPr>
          <w:rFonts w:ascii="Times New Roman" w:hAnsi="Times New Roman" w:cs="Times New Roman"/>
          <w:sz w:val="24"/>
          <w:szCs w:val="24"/>
        </w:rPr>
        <w:t>The Guide</w:t>
      </w:r>
      <w:r w:rsidR="000C72C9">
        <w:rPr>
          <w:rFonts w:ascii="Times New Roman" w:hAnsi="Times New Roman" w:cs="Times New Roman"/>
          <w:sz w:val="24"/>
          <w:szCs w:val="24"/>
        </w:rPr>
        <w:t xml:space="preserve"> includes</w:t>
      </w:r>
      <w:r>
        <w:rPr>
          <w:rFonts w:ascii="Times New Roman" w:hAnsi="Times New Roman" w:cs="Times New Roman"/>
          <w:sz w:val="24"/>
          <w:szCs w:val="24"/>
        </w:rPr>
        <w:t xml:space="preserve"> provisions applicable to:</w:t>
      </w:r>
    </w:p>
    <w:p w:rsidR="00342B62" w:rsidRDefault="00342B62" w:rsidP="009A4A50">
      <w:pPr>
        <w:jc w:val="both"/>
        <w:rPr>
          <w:rFonts w:ascii="Times New Roman" w:hAnsi="Times New Roman" w:cs="Times New Roman"/>
          <w:sz w:val="24"/>
          <w:szCs w:val="24"/>
        </w:rPr>
      </w:pPr>
    </w:p>
    <w:p w:rsidR="00342B62" w:rsidRDefault="00342B62" w:rsidP="00342B6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Source sites</w:t>
      </w:r>
    </w:p>
    <w:p w:rsidR="00342B62" w:rsidRDefault="00342B62" w:rsidP="00342B6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Receiving sites</w:t>
      </w:r>
    </w:p>
    <w:p w:rsidR="00342B62" w:rsidRDefault="00342B62" w:rsidP="00342B6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Auditable paper trails between the two</w:t>
      </w:r>
    </w:p>
    <w:p w:rsidR="00342B62" w:rsidRDefault="00342B62" w:rsidP="00342B62">
      <w:pPr>
        <w:jc w:val="both"/>
        <w:rPr>
          <w:rFonts w:ascii="Times New Roman" w:hAnsi="Times New Roman" w:cs="Times New Roman"/>
          <w:sz w:val="24"/>
          <w:szCs w:val="24"/>
        </w:rPr>
      </w:pPr>
      <w:r>
        <w:rPr>
          <w:rFonts w:ascii="Times New Roman" w:hAnsi="Times New Roman" w:cs="Times New Roman"/>
          <w:sz w:val="24"/>
          <w:szCs w:val="24"/>
        </w:rPr>
        <w:lastRenderedPageBreak/>
        <w:t>The Guide provides some welcome direction. Unfortunately, it leaves open several questions. Key is the extent to which a receiving site may "suitably" receive contaminated soils. In the past, the MOE had taken the position that soil with any contamination in excess of background levels</w:t>
      </w:r>
      <w:r>
        <w:rPr>
          <w:rStyle w:val="FootnoteReference"/>
          <w:rFonts w:ascii="Times New Roman" w:hAnsi="Times New Roman" w:cs="Times New Roman"/>
          <w:sz w:val="24"/>
          <w:szCs w:val="24"/>
        </w:rPr>
        <w:footnoteReference w:id="17"/>
      </w:r>
      <w:r w:rsidR="00E4205E">
        <w:rPr>
          <w:rFonts w:ascii="Times New Roman" w:hAnsi="Times New Roman" w:cs="Times New Roman"/>
          <w:sz w:val="24"/>
          <w:szCs w:val="24"/>
        </w:rPr>
        <w:t xml:space="preserve"> was a waste, as it </w:t>
      </w:r>
      <w:r w:rsidR="00CF072B">
        <w:rPr>
          <w:rFonts w:ascii="Times New Roman" w:hAnsi="Times New Roman" w:cs="Times New Roman"/>
          <w:sz w:val="24"/>
          <w:szCs w:val="24"/>
        </w:rPr>
        <w:t xml:space="preserve">may </w:t>
      </w:r>
      <w:r w:rsidR="00E4205E">
        <w:rPr>
          <w:rFonts w:ascii="Times New Roman" w:hAnsi="Times New Roman" w:cs="Times New Roman"/>
          <w:sz w:val="24"/>
          <w:szCs w:val="24"/>
        </w:rPr>
        <w:t xml:space="preserve">not meet the requirements of the </w:t>
      </w:r>
      <w:r w:rsidR="00CF072B">
        <w:rPr>
          <w:rFonts w:ascii="Times New Roman" w:hAnsi="Times New Roman" w:cs="Times New Roman"/>
          <w:sz w:val="24"/>
          <w:szCs w:val="24"/>
        </w:rPr>
        <w:t xml:space="preserve">(vague) </w:t>
      </w:r>
      <w:r w:rsidR="00E4205E">
        <w:rPr>
          <w:rFonts w:ascii="Times New Roman" w:hAnsi="Times New Roman" w:cs="Times New Roman"/>
          <w:sz w:val="24"/>
          <w:szCs w:val="24"/>
        </w:rPr>
        <w:t xml:space="preserve">definition of inert fill in </w:t>
      </w:r>
      <w:r w:rsidR="00FA50C7">
        <w:rPr>
          <w:rFonts w:ascii="Times New Roman" w:hAnsi="Times New Roman" w:cs="Times New Roman"/>
          <w:sz w:val="24"/>
          <w:szCs w:val="24"/>
        </w:rPr>
        <w:t>R</w:t>
      </w:r>
      <w:r w:rsidR="00CF072B">
        <w:rPr>
          <w:rFonts w:ascii="Times New Roman" w:hAnsi="Times New Roman" w:cs="Times New Roman"/>
          <w:sz w:val="24"/>
          <w:szCs w:val="24"/>
        </w:rPr>
        <w:t>egulation 347</w:t>
      </w:r>
      <w:r w:rsidR="00E4205E">
        <w:rPr>
          <w:rFonts w:ascii="Times New Roman" w:hAnsi="Times New Roman" w:cs="Times New Roman"/>
          <w:sz w:val="24"/>
          <w:szCs w:val="24"/>
        </w:rPr>
        <w:t xml:space="preserve"> of the EPA. The Guide appears to leave that decision to the Qu</w:t>
      </w:r>
      <w:r w:rsidR="00C001F3">
        <w:rPr>
          <w:rFonts w:ascii="Times New Roman" w:hAnsi="Times New Roman" w:cs="Times New Roman"/>
          <w:sz w:val="24"/>
          <w:szCs w:val="24"/>
        </w:rPr>
        <w:t>alified Person (as defined in Ontario</w:t>
      </w:r>
      <w:r w:rsidR="00763168">
        <w:rPr>
          <w:rFonts w:ascii="Times New Roman" w:hAnsi="Times New Roman" w:cs="Times New Roman"/>
          <w:sz w:val="24"/>
          <w:szCs w:val="24"/>
        </w:rPr>
        <w:t xml:space="preserve"> Regulation </w:t>
      </w:r>
      <w:r w:rsidR="00E4205E">
        <w:rPr>
          <w:rFonts w:ascii="Times New Roman" w:hAnsi="Times New Roman" w:cs="Times New Roman"/>
          <w:sz w:val="24"/>
          <w:szCs w:val="24"/>
        </w:rPr>
        <w:t xml:space="preserve">153/04). The </w:t>
      </w:r>
      <w:r w:rsidR="00CF072B">
        <w:rPr>
          <w:rFonts w:ascii="Times New Roman" w:hAnsi="Times New Roman" w:cs="Times New Roman"/>
          <w:sz w:val="24"/>
          <w:szCs w:val="24"/>
        </w:rPr>
        <w:t xml:space="preserve">regulatory </w:t>
      </w:r>
      <w:r w:rsidR="00E4205E">
        <w:rPr>
          <w:rFonts w:ascii="Times New Roman" w:hAnsi="Times New Roman" w:cs="Times New Roman"/>
          <w:sz w:val="24"/>
          <w:szCs w:val="24"/>
        </w:rPr>
        <w:t xml:space="preserve">provisions remain unchanged, however, leaving open arguments as to whether or not </w:t>
      </w:r>
      <w:r w:rsidR="000C72C9">
        <w:rPr>
          <w:rFonts w:ascii="Times New Roman" w:hAnsi="Times New Roman" w:cs="Times New Roman"/>
          <w:sz w:val="24"/>
          <w:szCs w:val="24"/>
        </w:rPr>
        <w:t xml:space="preserve">the </w:t>
      </w:r>
      <w:r w:rsidR="00E4205E">
        <w:rPr>
          <w:rFonts w:ascii="Times New Roman" w:hAnsi="Times New Roman" w:cs="Times New Roman"/>
          <w:sz w:val="24"/>
          <w:szCs w:val="24"/>
        </w:rPr>
        <w:t xml:space="preserve">disposal of soils </w:t>
      </w:r>
      <w:r w:rsidR="000C72C9">
        <w:rPr>
          <w:rFonts w:ascii="Times New Roman" w:hAnsi="Times New Roman" w:cs="Times New Roman"/>
          <w:sz w:val="24"/>
          <w:szCs w:val="24"/>
        </w:rPr>
        <w:t xml:space="preserve">which do not meet the definition of inert fill </w:t>
      </w:r>
      <w:r w:rsidR="00E4205E">
        <w:rPr>
          <w:rFonts w:ascii="Times New Roman" w:hAnsi="Times New Roman" w:cs="Times New Roman"/>
          <w:sz w:val="24"/>
          <w:szCs w:val="24"/>
        </w:rPr>
        <w:t>requires a Part V Env</w:t>
      </w:r>
      <w:r w:rsidR="00763168">
        <w:rPr>
          <w:rFonts w:ascii="Times New Roman" w:hAnsi="Times New Roman" w:cs="Times New Roman"/>
          <w:sz w:val="24"/>
          <w:szCs w:val="24"/>
        </w:rPr>
        <w:t>ironmental Compliance Approval.</w:t>
      </w:r>
    </w:p>
    <w:p w:rsidR="00E4205E" w:rsidRDefault="00E4205E" w:rsidP="00342B62">
      <w:pPr>
        <w:jc w:val="both"/>
        <w:rPr>
          <w:rFonts w:ascii="Times New Roman" w:hAnsi="Times New Roman" w:cs="Times New Roman"/>
          <w:sz w:val="24"/>
          <w:szCs w:val="24"/>
        </w:rPr>
      </w:pPr>
    </w:p>
    <w:p w:rsidR="00E4205E" w:rsidRDefault="00E4205E" w:rsidP="00342B62">
      <w:pPr>
        <w:jc w:val="both"/>
        <w:rPr>
          <w:rFonts w:ascii="Times New Roman" w:hAnsi="Times New Roman" w:cs="Times New Roman"/>
          <w:sz w:val="24"/>
          <w:szCs w:val="24"/>
        </w:rPr>
      </w:pPr>
      <w:r>
        <w:rPr>
          <w:rFonts w:ascii="Times New Roman" w:hAnsi="Times New Roman" w:cs="Times New Roman"/>
          <w:sz w:val="24"/>
          <w:szCs w:val="24"/>
        </w:rPr>
        <w:t>Fill cases have been fertile ground for municipalities, which have tried to regulate the issue through fill placement by-laws. These by-laws have been subject to all manner of creative challenge.</w:t>
      </w:r>
    </w:p>
    <w:p w:rsidR="00E4205E" w:rsidRDefault="00E4205E" w:rsidP="00342B62">
      <w:pPr>
        <w:jc w:val="both"/>
        <w:rPr>
          <w:rFonts w:ascii="Times New Roman" w:hAnsi="Times New Roman" w:cs="Times New Roman"/>
          <w:sz w:val="24"/>
          <w:szCs w:val="24"/>
        </w:rPr>
      </w:pPr>
    </w:p>
    <w:p w:rsidR="00E4205E" w:rsidRDefault="00E4205E" w:rsidP="00342B62">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E4205E">
        <w:rPr>
          <w:rFonts w:ascii="Times New Roman" w:hAnsi="Times New Roman" w:cs="Times New Roman"/>
          <w:i/>
          <w:sz w:val="24"/>
          <w:szCs w:val="24"/>
        </w:rPr>
        <w:t>Scugog</w:t>
      </w:r>
      <w:proofErr w:type="spellEnd"/>
      <w:r w:rsidRPr="00E4205E">
        <w:rPr>
          <w:rFonts w:ascii="Times New Roman" w:hAnsi="Times New Roman" w:cs="Times New Roman"/>
          <w:i/>
          <w:sz w:val="24"/>
          <w:szCs w:val="24"/>
        </w:rPr>
        <w:t xml:space="preserve"> (Township) v. 2241960 Ontario Inc</w:t>
      </w:r>
      <w:r>
        <w:rPr>
          <w:rFonts w:ascii="Times New Roman" w:hAnsi="Times New Roman" w:cs="Times New Roman"/>
          <w:sz w:val="24"/>
          <w:szCs w:val="24"/>
        </w:rPr>
        <w:t>.</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Divisional Court rejected the notion that the fill placement by-law did not apply because the owner was building an aerodrome. The Court concluded that the site was a fill site, not an aerodrome. In any event, as fill by-laws would not seriously impair aerodrome construction, </w:t>
      </w:r>
      <w:proofErr w:type="spellStart"/>
      <w:r>
        <w:rPr>
          <w:rFonts w:ascii="Times New Roman" w:hAnsi="Times New Roman" w:cs="Times New Roman"/>
          <w:sz w:val="24"/>
          <w:szCs w:val="24"/>
        </w:rPr>
        <w:t>interjurisdictional</w:t>
      </w:r>
      <w:proofErr w:type="spellEnd"/>
      <w:r>
        <w:rPr>
          <w:rFonts w:ascii="Times New Roman" w:hAnsi="Times New Roman" w:cs="Times New Roman"/>
          <w:sz w:val="24"/>
          <w:szCs w:val="24"/>
        </w:rPr>
        <w:t xml:space="preserve"> immunity would not preclude their application in this case.</w:t>
      </w:r>
    </w:p>
    <w:p w:rsidR="00E4205E" w:rsidRDefault="00E4205E" w:rsidP="00342B62">
      <w:pPr>
        <w:jc w:val="both"/>
        <w:rPr>
          <w:rFonts w:ascii="Times New Roman" w:hAnsi="Times New Roman" w:cs="Times New Roman"/>
          <w:sz w:val="24"/>
          <w:szCs w:val="24"/>
        </w:rPr>
      </w:pPr>
    </w:p>
    <w:p w:rsidR="00E4205E" w:rsidRDefault="00E4205E" w:rsidP="00342B62">
      <w:pPr>
        <w:jc w:val="both"/>
        <w:rPr>
          <w:rFonts w:ascii="Times New Roman" w:hAnsi="Times New Roman" w:cs="Times New Roman"/>
          <w:sz w:val="24"/>
          <w:szCs w:val="24"/>
        </w:rPr>
      </w:pPr>
      <w:r>
        <w:rPr>
          <w:rFonts w:ascii="Times New Roman" w:hAnsi="Times New Roman" w:cs="Times New Roman"/>
          <w:sz w:val="24"/>
          <w:szCs w:val="24"/>
        </w:rPr>
        <w:t xml:space="preserve">In </w:t>
      </w:r>
      <w:r w:rsidRPr="00E4205E">
        <w:rPr>
          <w:rFonts w:ascii="Times New Roman" w:hAnsi="Times New Roman" w:cs="Times New Roman"/>
          <w:i/>
          <w:sz w:val="24"/>
          <w:szCs w:val="24"/>
        </w:rPr>
        <w:t>Burlington Airpark Inc. v. Burlington (City)</w:t>
      </w:r>
      <w:r w:rsidR="00056149">
        <w:rPr>
          <w:rFonts w:ascii="Times New Roman" w:hAnsi="Times New Roman" w:cs="Times New Roman"/>
          <w:i/>
          <w:sz w:val="24"/>
          <w:szCs w:val="24"/>
        </w:rPr>
        <w:t>,</w:t>
      </w:r>
      <w:r w:rsidRPr="00E4205E">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receiving site </w:t>
      </w:r>
      <w:r w:rsidRPr="000C72C9">
        <w:rPr>
          <w:rFonts w:ascii="Times New Roman" w:hAnsi="Times New Roman" w:cs="Times New Roman"/>
          <w:sz w:val="24"/>
          <w:szCs w:val="24"/>
          <w:u w:val="single"/>
        </w:rPr>
        <w:t>was</w:t>
      </w:r>
      <w:r>
        <w:rPr>
          <w:rFonts w:ascii="Times New Roman" w:hAnsi="Times New Roman" w:cs="Times New Roman"/>
          <w:sz w:val="24"/>
          <w:szCs w:val="24"/>
        </w:rPr>
        <w:t xml:space="preserve"> an airport that had been operated since 1962. The fill was being used for runway construction. The Court confirmed the </w:t>
      </w:r>
      <w:proofErr w:type="spellStart"/>
      <w:r w:rsidRPr="00E4205E">
        <w:rPr>
          <w:rFonts w:ascii="Times New Roman" w:hAnsi="Times New Roman" w:cs="Times New Roman"/>
          <w:i/>
          <w:sz w:val="24"/>
          <w:szCs w:val="24"/>
        </w:rPr>
        <w:t>Scugog</w:t>
      </w:r>
      <w:proofErr w:type="spellEnd"/>
      <w:r>
        <w:rPr>
          <w:rFonts w:ascii="Times New Roman" w:hAnsi="Times New Roman" w:cs="Times New Roman"/>
          <w:sz w:val="24"/>
          <w:szCs w:val="24"/>
        </w:rPr>
        <w:t xml:space="preserve"> decision, noting that "the by-law does not impact or intrude on the core of the Federal power"</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Further, as Justice </w:t>
      </w:r>
      <w:proofErr w:type="spellStart"/>
      <w:r>
        <w:rPr>
          <w:rFonts w:ascii="Times New Roman" w:hAnsi="Times New Roman" w:cs="Times New Roman"/>
          <w:sz w:val="24"/>
          <w:szCs w:val="24"/>
        </w:rPr>
        <w:t>Swinton</w:t>
      </w:r>
      <w:proofErr w:type="spellEnd"/>
      <w:r>
        <w:rPr>
          <w:rFonts w:ascii="Times New Roman" w:hAnsi="Times New Roman" w:cs="Times New Roman"/>
          <w:sz w:val="24"/>
          <w:szCs w:val="24"/>
        </w:rPr>
        <w:t xml:space="preserve"> </w:t>
      </w:r>
      <w:r w:rsidR="00763168">
        <w:rPr>
          <w:rFonts w:ascii="Times New Roman" w:hAnsi="Times New Roman" w:cs="Times New Roman"/>
          <w:sz w:val="24"/>
          <w:szCs w:val="24"/>
        </w:rPr>
        <w:t xml:space="preserve">had </w:t>
      </w:r>
      <w:r>
        <w:rPr>
          <w:rFonts w:ascii="Times New Roman" w:hAnsi="Times New Roman" w:cs="Times New Roman"/>
          <w:sz w:val="24"/>
          <w:szCs w:val="24"/>
        </w:rPr>
        <w:t xml:space="preserve">concluded in </w:t>
      </w:r>
      <w:proofErr w:type="spellStart"/>
      <w:r w:rsidRPr="00E4205E">
        <w:rPr>
          <w:rFonts w:ascii="Times New Roman" w:hAnsi="Times New Roman" w:cs="Times New Roman"/>
          <w:i/>
          <w:sz w:val="24"/>
          <w:szCs w:val="24"/>
        </w:rPr>
        <w:t>Scugog</w:t>
      </w:r>
      <w:proofErr w:type="spellEnd"/>
      <w:r>
        <w:rPr>
          <w:rFonts w:ascii="Times New Roman" w:hAnsi="Times New Roman" w:cs="Times New Roman"/>
          <w:sz w:val="24"/>
          <w:szCs w:val="24"/>
        </w:rPr>
        <w:t>, nothing suggested that the applicant "had been prevented from selecting appropriate materials to deposit on the property".</w:t>
      </w:r>
    </w:p>
    <w:p w:rsidR="00E4205E" w:rsidRDefault="00E4205E" w:rsidP="00342B62">
      <w:pPr>
        <w:jc w:val="both"/>
        <w:rPr>
          <w:rFonts w:ascii="Times New Roman" w:hAnsi="Times New Roman" w:cs="Times New Roman"/>
          <w:sz w:val="24"/>
          <w:szCs w:val="24"/>
        </w:rPr>
      </w:pPr>
    </w:p>
    <w:p w:rsidR="00E4205E" w:rsidRDefault="00E4205E" w:rsidP="00342B62">
      <w:pPr>
        <w:jc w:val="both"/>
        <w:rPr>
          <w:rFonts w:ascii="Times New Roman" w:hAnsi="Times New Roman" w:cs="Times New Roman"/>
          <w:sz w:val="24"/>
          <w:szCs w:val="24"/>
        </w:rPr>
      </w:pPr>
      <w:r>
        <w:rPr>
          <w:rFonts w:ascii="Times New Roman" w:hAnsi="Times New Roman" w:cs="Times New Roman"/>
          <w:sz w:val="24"/>
          <w:szCs w:val="24"/>
        </w:rPr>
        <w:t>The case is scheduled to be argued at the Court of Appeal for Ontario</w:t>
      </w:r>
      <w:r w:rsidR="00CE0246">
        <w:rPr>
          <w:rFonts w:ascii="Times New Roman" w:hAnsi="Times New Roman" w:cs="Times New Roman"/>
          <w:sz w:val="24"/>
          <w:szCs w:val="24"/>
        </w:rPr>
        <w:t xml:space="preserve"> on June 11, 2014. Stay tuned.</w:t>
      </w:r>
    </w:p>
    <w:p w:rsidR="00CE0246" w:rsidRDefault="00CE0246" w:rsidP="00342B62">
      <w:pPr>
        <w:jc w:val="both"/>
        <w:rPr>
          <w:rFonts w:ascii="Times New Roman" w:hAnsi="Times New Roman" w:cs="Times New Roman"/>
          <w:sz w:val="24"/>
          <w:szCs w:val="24"/>
        </w:rPr>
      </w:pPr>
    </w:p>
    <w:p w:rsidR="00CE0246" w:rsidRDefault="00CE0246" w:rsidP="00342B62">
      <w:pPr>
        <w:jc w:val="both"/>
        <w:rPr>
          <w:rFonts w:ascii="Times New Roman" w:hAnsi="Times New Roman" w:cs="Times New Roman"/>
          <w:sz w:val="24"/>
          <w:szCs w:val="24"/>
        </w:rPr>
      </w:pPr>
      <w:r>
        <w:rPr>
          <w:rFonts w:ascii="Times New Roman" w:hAnsi="Times New Roman" w:cs="Times New Roman"/>
          <w:sz w:val="24"/>
          <w:szCs w:val="24"/>
        </w:rPr>
        <w:t xml:space="preserve">Meanwhile, in Alberta, the Court of Queens Bench reached a different conclusion in </w:t>
      </w:r>
      <w:r w:rsidRPr="00CE0246">
        <w:rPr>
          <w:rFonts w:ascii="Times New Roman" w:hAnsi="Times New Roman" w:cs="Times New Roman"/>
          <w:i/>
          <w:sz w:val="24"/>
          <w:szCs w:val="24"/>
        </w:rPr>
        <w:t>Parkland Airport Development Corp. v. Parkland (County)</w:t>
      </w:r>
      <w:r w:rsidR="00056149">
        <w:rPr>
          <w:rFonts w:ascii="Times New Roman" w:hAnsi="Times New Roman" w:cs="Times New Roman"/>
          <w:i/>
          <w:sz w:val="24"/>
          <w:szCs w:val="24"/>
        </w:rPr>
        <w:t>.</w:t>
      </w:r>
      <w:r w:rsidRPr="00CE0246">
        <w:rPr>
          <w:rStyle w:val="FootnoteReference"/>
          <w:rFonts w:ascii="Times New Roman" w:hAnsi="Times New Roman" w:cs="Times New Roman"/>
          <w:sz w:val="24"/>
          <w:szCs w:val="24"/>
        </w:rPr>
        <w:footnoteReference w:id="21"/>
      </w:r>
      <w:r w:rsidRPr="00CE0246">
        <w:rPr>
          <w:rFonts w:ascii="Times New Roman" w:hAnsi="Times New Roman" w:cs="Times New Roman"/>
          <w:i/>
          <w:sz w:val="24"/>
          <w:szCs w:val="24"/>
        </w:rPr>
        <w:t xml:space="preserve"> </w:t>
      </w:r>
      <w:r>
        <w:rPr>
          <w:rFonts w:ascii="Times New Roman" w:hAnsi="Times New Roman" w:cs="Times New Roman"/>
          <w:sz w:val="24"/>
          <w:szCs w:val="24"/>
        </w:rPr>
        <w:t>In that case, the municipality required a development permit</w:t>
      </w:r>
      <w:r w:rsidR="000C72C9">
        <w:rPr>
          <w:rFonts w:ascii="Times New Roman" w:hAnsi="Times New Roman" w:cs="Times New Roman"/>
          <w:sz w:val="24"/>
          <w:szCs w:val="24"/>
        </w:rPr>
        <w:t xml:space="preserve"> to allow for stripping and grad</w:t>
      </w:r>
      <w:r>
        <w:rPr>
          <w:rFonts w:ascii="Times New Roman" w:hAnsi="Times New Roman" w:cs="Times New Roman"/>
          <w:sz w:val="24"/>
          <w:szCs w:val="24"/>
        </w:rPr>
        <w:t>ing required to develop the airport. The Court concluded that this requirement was a significant intrusion on the exercise of the Federal aeronautics power</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0C72C9">
        <w:rPr>
          <w:rFonts w:ascii="Times New Roman" w:hAnsi="Times New Roman" w:cs="Times New Roman"/>
          <w:sz w:val="24"/>
          <w:szCs w:val="24"/>
        </w:rPr>
        <w:t xml:space="preserve"> </w:t>
      </w:r>
      <w:r>
        <w:rPr>
          <w:rFonts w:ascii="Times New Roman" w:hAnsi="Times New Roman" w:cs="Times New Roman"/>
          <w:sz w:val="24"/>
          <w:szCs w:val="24"/>
        </w:rPr>
        <w:t>Interestingly, the Court observed that everyone had agre</w:t>
      </w:r>
      <w:r w:rsidR="00935E2A">
        <w:rPr>
          <w:rFonts w:ascii="Times New Roman" w:hAnsi="Times New Roman" w:cs="Times New Roman"/>
          <w:sz w:val="24"/>
          <w:szCs w:val="24"/>
        </w:rPr>
        <w:t>ed that municipal haul</w:t>
      </w:r>
      <w:r>
        <w:rPr>
          <w:rFonts w:ascii="Times New Roman" w:hAnsi="Times New Roman" w:cs="Times New Roman"/>
          <w:sz w:val="24"/>
          <w:szCs w:val="24"/>
        </w:rPr>
        <w:t xml:space="preserve"> permits and fees could be required</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however, a development permit could not be a pre-condition to the issuance of these permits.</w:t>
      </w:r>
    </w:p>
    <w:p w:rsidR="00CE0246" w:rsidRDefault="00CE0246" w:rsidP="00342B62">
      <w:pPr>
        <w:jc w:val="both"/>
        <w:rPr>
          <w:rFonts w:ascii="Times New Roman" w:hAnsi="Times New Roman" w:cs="Times New Roman"/>
          <w:sz w:val="24"/>
          <w:szCs w:val="24"/>
        </w:rPr>
      </w:pPr>
    </w:p>
    <w:p w:rsidR="00CE0246" w:rsidRDefault="00CE0246" w:rsidP="00342B62">
      <w:pPr>
        <w:jc w:val="both"/>
        <w:rPr>
          <w:rFonts w:ascii="Times New Roman" w:hAnsi="Times New Roman" w:cs="Times New Roman"/>
          <w:sz w:val="24"/>
          <w:szCs w:val="24"/>
        </w:rPr>
      </w:pPr>
      <w:r>
        <w:rPr>
          <w:rFonts w:ascii="Times New Roman" w:hAnsi="Times New Roman" w:cs="Times New Roman"/>
          <w:sz w:val="24"/>
          <w:szCs w:val="24"/>
        </w:rPr>
        <w:lastRenderedPageBreak/>
        <w:t>In another amusing line of cases, the disposal of fill on agricultural lands has been argued to be exempt from municipal regulation on the basis that it is a "normal farming practice". These arguments have had little success</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CE0246" w:rsidRDefault="00CE0246" w:rsidP="00342B62">
      <w:pPr>
        <w:jc w:val="both"/>
        <w:rPr>
          <w:rFonts w:ascii="Times New Roman" w:hAnsi="Times New Roman" w:cs="Times New Roman"/>
          <w:sz w:val="24"/>
          <w:szCs w:val="24"/>
        </w:rPr>
      </w:pPr>
    </w:p>
    <w:p w:rsidR="00CE0246" w:rsidRDefault="00CE0246" w:rsidP="00342B62">
      <w:pPr>
        <w:jc w:val="both"/>
        <w:rPr>
          <w:rFonts w:ascii="Times New Roman" w:hAnsi="Times New Roman" w:cs="Times New Roman"/>
          <w:sz w:val="24"/>
          <w:szCs w:val="24"/>
        </w:rPr>
      </w:pPr>
      <w:r>
        <w:rPr>
          <w:rFonts w:ascii="Times New Roman" w:hAnsi="Times New Roman" w:cs="Times New Roman"/>
          <w:sz w:val="24"/>
          <w:szCs w:val="24"/>
        </w:rPr>
        <w:t xml:space="preserve">Municipalities will now have to </w:t>
      </w:r>
      <w:r w:rsidR="00D21601">
        <w:rPr>
          <w:rFonts w:ascii="Times New Roman" w:hAnsi="Times New Roman" w:cs="Times New Roman"/>
          <w:sz w:val="24"/>
          <w:szCs w:val="24"/>
        </w:rPr>
        <w:t xml:space="preserve">weigh what practices and procedures should be applied to their own activities, and how the existence of the </w:t>
      </w:r>
      <w:r w:rsidR="000C72C9">
        <w:rPr>
          <w:rFonts w:ascii="Times New Roman" w:hAnsi="Times New Roman" w:cs="Times New Roman"/>
          <w:sz w:val="24"/>
          <w:szCs w:val="24"/>
        </w:rPr>
        <w:t>Guide</w:t>
      </w:r>
      <w:r w:rsidR="00D21601">
        <w:rPr>
          <w:rFonts w:ascii="Times New Roman" w:hAnsi="Times New Roman" w:cs="Times New Roman"/>
          <w:sz w:val="24"/>
          <w:szCs w:val="24"/>
        </w:rPr>
        <w:t xml:space="preserve"> may affect any duty of care they are subject to.</w:t>
      </w:r>
    </w:p>
    <w:p w:rsidR="00D21601" w:rsidRDefault="00D21601" w:rsidP="00342B62">
      <w:pPr>
        <w:jc w:val="both"/>
        <w:rPr>
          <w:rFonts w:ascii="Times New Roman" w:hAnsi="Times New Roman" w:cs="Times New Roman"/>
          <w:sz w:val="24"/>
          <w:szCs w:val="24"/>
        </w:rPr>
      </w:pPr>
    </w:p>
    <w:p w:rsidR="00D21601" w:rsidRDefault="00D21601" w:rsidP="00342B62">
      <w:pPr>
        <w:jc w:val="both"/>
        <w:rPr>
          <w:rFonts w:ascii="Times New Roman" w:hAnsi="Times New Roman" w:cs="Times New Roman"/>
          <w:sz w:val="24"/>
          <w:szCs w:val="24"/>
        </w:rPr>
      </w:pPr>
      <w:r>
        <w:rPr>
          <w:rFonts w:ascii="Times New Roman" w:hAnsi="Times New Roman" w:cs="Times New Roman"/>
          <w:sz w:val="24"/>
          <w:szCs w:val="24"/>
        </w:rPr>
        <w:t xml:space="preserve">Questions have also been raised as to potential municipal liability for soils exported from third party lands within the municipality. In </w:t>
      </w:r>
      <w:proofErr w:type="spellStart"/>
      <w:r w:rsidRPr="00D21601">
        <w:rPr>
          <w:rFonts w:ascii="Times New Roman" w:hAnsi="Times New Roman" w:cs="Times New Roman"/>
          <w:i/>
          <w:sz w:val="24"/>
          <w:szCs w:val="24"/>
        </w:rPr>
        <w:t>Northmarket</w:t>
      </w:r>
      <w:proofErr w:type="spellEnd"/>
      <w:r w:rsidRPr="00D21601">
        <w:rPr>
          <w:rFonts w:ascii="Times New Roman" w:hAnsi="Times New Roman" w:cs="Times New Roman"/>
          <w:i/>
          <w:sz w:val="24"/>
          <w:szCs w:val="24"/>
        </w:rPr>
        <w:t xml:space="preserve"> Holdings Inc. v. </w:t>
      </w:r>
      <w:proofErr w:type="spellStart"/>
      <w:r w:rsidRPr="00D21601">
        <w:rPr>
          <w:rFonts w:ascii="Times New Roman" w:hAnsi="Times New Roman" w:cs="Times New Roman"/>
          <w:i/>
          <w:sz w:val="24"/>
          <w:szCs w:val="24"/>
        </w:rPr>
        <w:t>Redvers</w:t>
      </w:r>
      <w:proofErr w:type="spellEnd"/>
      <w:r w:rsidRPr="00D21601">
        <w:rPr>
          <w:rFonts w:ascii="Times New Roman" w:hAnsi="Times New Roman" w:cs="Times New Roman"/>
          <w:i/>
          <w:sz w:val="24"/>
          <w:szCs w:val="24"/>
        </w:rPr>
        <w:t xml:space="preserve"> et al</w:t>
      </w:r>
      <w:r w:rsidR="00056149">
        <w:rPr>
          <w:rFonts w:ascii="Times New Roman" w:hAnsi="Times New Roman" w:cs="Times New Roman"/>
          <w:i/>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Court of Appeal concluded that there is no private law duty to ensure that fill removed from a development site be directed to an approved disposal site. The Court specifically noted that the subdivision agreement did not refer to disposal at approved sites. One wonders what would have happened if it had</w:t>
      </w:r>
      <w:r w:rsidR="00763168">
        <w:rPr>
          <w:rFonts w:ascii="Times New Roman" w:hAnsi="Times New Roman" w:cs="Times New Roman"/>
          <w:sz w:val="24"/>
          <w:szCs w:val="24"/>
        </w:rPr>
        <w:t xml:space="preserve">, which is exactly what the MOE Guide </w:t>
      </w:r>
      <w:r w:rsidR="00484EF3">
        <w:rPr>
          <w:rFonts w:ascii="Times New Roman" w:hAnsi="Times New Roman" w:cs="Times New Roman"/>
          <w:sz w:val="24"/>
          <w:szCs w:val="24"/>
        </w:rPr>
        <w:t>promotes</w:t>
      </w:r>
      <w:r>
        <w:rPr>
          <w:rFonts w:ascii="Times New Roman" w:hAnsi="Times New Roman" w:cs="Times New Roman"/>
          <w:sz w:val="24"/>
          <w:szCs w:val="24"/>
        </w:rPr>
        <w:t>.</w:t>
      </w:r>
    </w:p>
    <w:p w:rsidR="00D21601" w:rsidRDefault="00D21601" w:rsidP="00342B62">
      <w:pPr>
        <w:jc w:val="both"/>
        <w:rPr>
          <w:rFonts w:ascii="Times New Roman" w:hAnsi="Times New Roman" w:cs="Times New Roman"/>
          <w:sz w:val="24"/>
          <w:szCs w:val="24"/>
        </w:rPr>
      </w:pPr>
    </w:p>
    <w:p w:rsidR="00D21601" w:rsidRDefault="00D21601" w:rsidP="00342B62">
      <w:pPr>
        <w:jc w:val="both"/>
        <w:rPr>
          <w:rFonts w:ascii="Times New Roman" w:hAnsi="Times New Roman" w:cs="Times New Roman"/>
          <w:sz w:val="24"/>
          <w:szCs w:val="24"/>
        </w:rPr>
      </w:pPr>
      <w:r>
        <w:rPr>
          <w:rFonts w:ascii="Times New Roman" w:hAnsi="Times New Roman" w:cs="Times New Roman"/>
          <w:sz w:val="24"/>
          <w:szCs w:val="24"/>
        </w:rPr>
        <w:t>In the event that municipalities enact site alteration by-laws or requirements for developers to comply with the MOE Guide, they become exposed to potential liability for n</w:t>
      </w:r>
      <w:r w:rsidR="00763168">
        <w:rPr>
          <w:rFonts w:ascii="Times New Roman" w:hAnsi="Times New Roman" w:cs="Times New Roman"/>
          <w:sz w:val="24"/>
          <w:szCs w:val="24"/>
        </w:rPr>
        <w:t>egligent implementation of these</w:t>
      </w:r>
      <w:r>
        <w:rPr>
          <w:rFonts w:ascii="Times New Roman" w:hAnsi="Times New Roman" w:cs="Times New Roman"/>
          <w:sz w:val="24"/>
          <w:szCs w:val="24"/>
        </w:rPr>
        <w:t xml:space="preserve"> policies.</w:t>
      </w:r>
    </w:p>
    <w:p w:rsidR="00763168" w:rsidRDefault="00763168" w:rsidP="00342B62">
      <w:pPr>
        <w:jc w:val="both"/>
        <w:rPr>
          <w:rFonts w:ascii="Times New Roman" w:hAnsi="Times New Roman" w:cs="Times New Roman"/>
          <w:sz w:val="24"/>
          <w:szCs w:val="24"/>
        </w:rPr>
      </w:pPr>
    </w:p>
    <w:p w:rsidR="00763168" w:rsidRDefault="00D21601" w:rsidP="00342B62">
      <w:pPr>
        <w:jc w:val="both"/>
        <w:rPr>
          <w:rFonts w:ascii="Times New Roman" w:hAnsi="Times New Roman" w:cs="Times New Roman"/>
          <w:sz w:val="24"/>
          <w:szCs w:val="24"/>
        </w:rPr>
      </w:pPr>
      <w:r>
        <w:rPr>
          <w:rFonts w:ascii="Times New Roman" w:hAnsi="Times New Roman" w:cs="Times New Roman"/>
          <w:sz w:val="24"/>
          <w:szCs w:val="24"/>
        </w:rPr>
        <w:t>The</w:t>
      </w:r>
      <w:r w:rsidR="000C72C9">
        <w:rPr>
          <w:rFonts w:ascii="Times New Roman" w:hAnsi="Times New Roman" w:cs="Times New Roman"/>
          <w:sz w:val="24"/>
          <w:szCs w:val="24"/>
        </w:rPr>
        <w:t xml:space="preserve">se </w:t>
      </w:r>
      <w:r>
        <w:rPr>
          <w:rFonts w:ascii="Times New Roman" w:hAnsi="Times New Roman" w:cs="Times New Roman"/>
          <w:sz w:val="24"/>
          <w:szCs w:val="24"/>
        </w:rPr>
        <w:t xml:space="preserve">schemes must therefore be considered in terms of </w:t>
      </w:r>
      <w:r w:rsidR="00FA50C7">
        <w:rPr>
          <w:rFonts w:ascii="Times New Roman" w:hAnsi="Times New Roman" w:cs="Times New Roman"/>
          <w:sz w:val="24"/>
          <w:szCs w:val="24"/>
        </w:rPr>
        <w:t>the cost and staffing required.</w:t>
      </w:r>
    </w:p>
    <w:p w:rsidR="00FA50C7" w:rsidRDefault="00FA50C7" w:rsidP="00342B62">
      <w:pPr>
        <w:jc w:val="both"/>
        <w:rPr>
          <w:rFonts w:ascii="Times New Roman" w:hAnsi="Times New Roman" w:cs="Times New Roman"/>
          <w:sz w:val="24"/>
          <w:szCs w:val="24"/>
        </w:rPr>
      </w:pPr>
    </w:p>
    <w:p w:rsidR="00D21601" w:rsidRDefault="00D21601" w:rsidP="00342B62">
      <w:pPr>
        <w:jc w:val="both"/>
        <w:rPr>
          <w:rFonts w:ascii="Times New Roman" w:hAnsi="Times New Roman" w:cs="Times New Roman"/>
          <w:sz w:val="24"/>
          <w:szCs w:val="24"/>
        </w:rPr>
      </w:pPr>
      <w:r>
        <w:rPr>
          <w:rFonts w:ascii="Times New Roman" w:hAnsi="Times New Roman" w:cs="Times New Roman"/>
          <w:sz w:val="24"/>
          <w:szCs w:val="24"/>
        </w:rPr>
        <w:t>Municipalities will certainly seek to insulate themselves from any such liability by relying, as a matter of policy, on the representations of Qualified Persons</w:t>
      </w:r>
      <w:r w:rsidR="00056149">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sidR="00763168">
        <w:rPr>
          <w:rFonts w:ascii="Times New Roman" w:hAnsi="Times New Roman" w:cs="Times New Roman"/>
          <w:sz w:val="24"/>
          <w:szCs w:val="24"/>
        </w:rPr>
        <w:t xml:space="preserve"> </w:t>
      </w:r>
      <w:r>
        <w:rPr>
          <w:rFonts w:ascii="Times New Roman" w:hAnsi="Times New Roman" w:cs="Times New Roman"/>
          <w:sz w:val="24"/>
          <w:szCs w:val="24"/>
        </w:rPr>
        <w:t xml:space="preserve">This will invariably lead into questions about </w:t>
      </w:r>
      <w:r w:rsidR="00727854">
        <w:rPr>
          <w:rFonts w:ascii="Times New Roman" w:hAnsi="Times New Roman" w:cs="Times New Roman"/>
          <w:sz w:val="24"/>
          <w:szCs w:val="24"/>
        </w:rPr>
        <w:t>reliance letters (get them) and consultant limitations (avoid them).</w:t>
      </w:r>
    </w:p>
    <w:p w:rsidR="00727854" w:rsidRDefault="00727854" w:rsidP="00342B62">
      <w:pPr>
        <w:jc w:val="both"/>
        <w:rPr>
          <w:rFonts w:ascii="Times New Roman" w:hAnsi="Times New Roman" w:cs="Times New Roman"/>
          <w:sz w:val="24"/>
          <w:szCs w:val="24"/>
        </w:rPr>
      </w:pPr>
    </w:p>
    <w:p w:rsidR="00727854" w:rsidRDefault="00727854" w:rsidP="00342B62">
      <w:pPr>
        <w:jc w:val="both"/>
        <w:rPr>
          <w:rFonts w:ascii="Times New Roman" w:hAnsi="Times New Roman" w:cs="Times New Roman"/>
          <w:sz w:val="24"/>
          <w:szCs w:val="24"/>
        </w:rPr>
      </w:pPr>
      <w:r>
        <w:rPr>
          <w:rFonts w:ascii="Times New Roman" w:hAnsi="Times New Roman" w:cs="Times New Roman"/>
          <w:sz w:val="24"/>
          <w:szCs w:val="24"/>
        </w:rPr>
        <w:t>The panel will review liability trends in this area, especially in relation to implementation of the MOE Guide.</w:t>
      </w:r>
    </w:p>
    <w:p w:rsidR="00727854" w:rsidRPr="00342B62" w:rsidRDefault="00727854" w:rsidP="00342B62">
      <w:pPr>
        <w:jc w:val="both"/>
        <w:rPr>
          <w:rFonts w:ascii="Times New Roman" w:hAnsi="Times New Roman" w:cs="Times New Roman"/>
          <w:sz w:val="24"/>
          <w:szCs w:val="24"/>
        </w:rPr>
      </w:pPr>
    </w:p>
    <w:sectPr w:rsidR="00727854" w:rsidRPr="00342B62" w:rsidSect="003F6BD5">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6C" w:rsidRDefault="009A226C" w:rsidP="00597D68">
      <w:r>
        <w:separator/>
      </w:r>
    </w:p>
  </w:endnote>
  <w:endnote w:type="continuationSeparator" w:id="0">
    <w:p w:rsidR="009A226C" w:rsidRDefault="009A226C" w:rsidP="0059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8276"/>
      <w:docPartObj>
        <w:docPartGallery w:val="Page Numbers (Bottom of Page)"/>
        <w:docPartUnique/>
      </w:docPartObj>
    </w:sdtPr>
    <w:sdtEndPr/>
    <w:sdtContent>
      <w:p w:rsidR="00C001F3" w:rsidRDefault="003004DA" w:rsidP="001326C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C001F3" w:rsidRDefault="001326C0" w:rsidP="001326C0">
    <w:pPr>
      <w:pStyle w:val="Footer"/>
      <w:jc w:val="center"/>
    </w:pPr>
    <w:r>
      <w:t>Current Environmental Liability Law Issues for Municipalities – June 17,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6C" w:rsidRDefault="009A226C" w:rsidP="00597D68">
      <w:r>
        <w:separator/>
      </w:r>
    </w:p>
  </w:footnote>
  <w:footnote w:type="continuationSeparator" w:id="0">
    <w:p w:rsidR="009A226C" w:rsidRDefault="009A226C" w:rsidP="00597D68">
      <w:r>
        <w:continuationSeparator/>
      </w:r>
    </w:p>
  </w:footnote>
  <w:footnote w:id="1">
    <w:p w:rsidR="00C001F3" w:rsidRDefault="00C001F3" w:rsidP="00597D68">
      <w:pPr>
        <w:pStyle w:val="FootnoteText"/>
        <w:jc w:val="both"/>
      </w:pPr>
      <w:r>
        <w:rPr>
          <w:rStyle w:val="FootnoteReference"/>
        </w:rPr>
        <w:footnoteRef/>
      </w:r>
      <w:r>
        <w:t xml:space="preserve"> </w:t>
      </w:r>
      <w:proofErr w:type="gramStart"/>
      <w:r w:rsidRPr="00597D68">
        <w:rPr>
          <w:rFonts w:ascii="Times New Roman" w:hAnsi="Times New Roman" w:cs="Times New Roman"/>
        </w:rPr>
        <w:t>2013 ONCA 310</w:t>
      </w:r>
      <w:r>
        <w:rPr>
          <w:rFonts w:ascii="Times New Roman" w:hAnsi="Times New Roman" w:cs="Times New Roman"/>
        </w:rPr>
        <w:t xml:space="preserve">;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2012 ONSC 2708 (Div. Ct.);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2009 OERTD No. 59 (ERT)</w:t>
      </w:r>
    </w:p>
  </w:footnote>
  <w:footnote w:id="2">
    <w:p w:rsidR="00C001F3" w:rsidRDefault="00C001F3" w:rsidP="00C001F3">
      <w:pPr>
        <w:pStyle w:val="FootnoteText"/>
        <w:jc w:val="both"/>
      </w:pPr>
      <w:r>
        <w:rPr>
          <w:rStyle w:val="FootnoteReference"/>
        </w:rPr>
        <w:footnoteRef/>
      </w:r>
      <w:r>
        <w:t xml:space="preserve"> </w:t>
      </w:r>
      <w:r w:rsidRPr="00C001F3">
        <w:rPr>
          <w:rFonts w:ascii="Times New Roman" w:hAnsi="Times New Roman" w:cs="Times New Roman"/>
        </w:rPr>
        <w:t>Note: it is the province that regulates the home heating oil tank that leaked, and has failed to require that such tanks have adequate insurance or containment.</w:t>
      </w:r>
    </w:p>
  </w:footnote>
  <w:footnote w:id="3">
    <w:p w:rsidR="00C001F3" w:rsidRPr="00D87DE3" w:rsidRDefault="00C001F3" w:rsidP="00D87DE3">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2013 ONSC 4142 (Div. Ct.);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2013 O.E.R.T.D. No. 21 (ERT)</w:t>
      </w:r>
    </w:p>
  </w:footnote>
  <w:footnote w:id="4">
    <w:p w:rsidR="00C001F3" w:rsidRPr="00ED4568" w:rsidRDefault="00C001F3" w:rsidP="00635682">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2013 SCC 52 (SCC);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2012 ONCA 165 (CAO);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2011 ONSC 767 (SCJ); </w:t>
      </w:r>
      <w:proofErr w:type="spellStart"/>
      <w:r>
        <w:rPr>
          <w:rFonts w:ascii="Times New Roman" w:hAnsi="Times New Roman" w:cs="Times New Roman"/>
        </w:rPr>
        <w:t>rev'g</w:t>
      </w:r>
      <w:proofErr w:type="spellEnd"/>
      <w:r>
        <w:rPr>
          <w:rFonts w:ascii="Times New Roman" w:hAnsi="Times New Roman" w:cs="Times New Roman"/>
        </w:rPr>
        <w:t>.</w:t>
      </w:r>
      <w:proofErr w:type="gramEnd"/>
      <w:r>
        <w:rPr>
          <w:rFonts w:ascii="Times New Roman" w:hAnsi="Times New Roman" w:cs="Times New Roman"/>
        </w:rPr>
        <w:t xml:space="preserve"> [2010] O.J. No. 5713</w:t>
      </w:r>
      <w:r>
        <w:rPr>
          <w:rFonts w:ascii="Times New Roman" w:hAnsi="Times New Roman" w:cs="Times New Roman"/>
          <w:b/>
        </w:rPr>
        <w:t xml:space="preserve"> </w:t>
      </w:r>
      <w:r w:rsidRPr="00C001F3">
        <w:rPr>
          <w:rFonts w:ascii="Times New Roman" w:hAnsi="Times New Roman" w:cs="Times New Roman"/>
        </w:rPr>
        <w:t>(OCJ)</w:t>
      </w:r>
    </w:p>
  </w:footnote>
  <w:footnote w:id="5">
    <w:p w:rsidR="00C001F3" w:rsidRDefault="00C001F3">
      <w:pPr>
        <w:pStyle w:val="FootnoteText"/>
      </w:pPr>
      <w:r>
        <w:rPr>
          <w:rStyle w:val="FootnoteReference"/>
        </w:rPr>
        <w:footnoteRef/>
      </w:r>
      <w:r>
        <w:t xml:space="preserve"> </w:t>
      </w:r>
      <w:r w:rsidRPr="006F7AB7">
        <w:rPr>
          <w:rFonts w:ascii="Times New Roman" w:hAnsi="Times New Roman" w:cs="Times New Roman"/>
        </w:rPr>
        <w:t>See Regulation 101/94</w:t>
      </w:r>
    </w:p>
  </w:footnote>
  <w:footnote w:id="6">
    <w:p w:rsidR="00C001F3" w:rsidRPr="006F7AB7" w:rsidRDefault="00C001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S.O. 2002, c.6</w:t>
      </w:r>
    </w:p>
  </w:footnote>
  <w:footnote w:id="7">
    <w:p w:rsidR="00C001F3" w:rsidRPr="00536F95" w:rsidRDefault="00C001F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2009 ONCA 845 (CAO); </w:t>
      </w:r>
      <w:proofErr w:type="spellStart"/>
      <w:r>
        <w:rPr>
          <w:rFonts w:ascii="Times New Roman" w:hAnsi="Times New Roman" w:cs="Times New Roman"/>
        </w:rPr>
        <w:t>rev'g</w:t>
      </w:r>
      <w:proofErr w:type="spellEnd"/>
      <w:r>
        <w:rPr>
          <w:rFonts w:ascii="Times New Roman" w:hAnsi="Times New Roman" w:cs="Times New Roman"/>
        </w:rPr>
        <w:t>.</w:t>
      </w:r>
      <w:proofErr w:type="gramEnd"/>
      <w:r>
        <w:rPr>
          <w:rFonts w:ascii="Times New Roman" w:hAnsi="Times New Roman" w:cs="Times New Roman"/>
        </w:rPr>
        <w:t xml:space="preserve"> (2008) 34 C.E.L.R. (3d) 23 (OSCJ)</w:t>
      </w:r>
    </w:p>
  </w:footnote>
  <w:footnote w:id="8">
    <w:p w:rsidR="00C001F3" w:rsidRPr="00F43A99" w:rsidRDefault="00C001F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2001 SCC 55; </w:t>
      </w:r>
      <w:proofErr w:type="spellStart"/>
      <w:r>
        <w:rPr>
          <w:rFonts w:ascii="Times New Roman" w:hAnsi="Times New Roman" w:cs="Times New Roman"/>
        </w:rPr>
        <w:t>rev'g</w:t>
      </w:r>
      <w:proofErr w:type="spellEnd"/>
      <w:r>
        <w:rPr>
          <w:rFonts w:ascii="Times New Roman" w:hAnsi="Times New Roman" w:cs="Times New Roman"/>
        </w:rPr>
        <w:t>.</w:t>
      </w:r>
      <w:proofErr w:type="gramEnd"/>
      <w:r>
        <w:rPr>
          <w:rFonts w:ascii="Times New Roman" w:hAnsi="Times New Roman" w:cs="Times New Roman"/>
        </w:rPr>
        <w:t xml:space="preserve"> [1999] O.J. No. 1018</w:t>
      </w:r>
    </w:p>
  </w:footnote>
  <w:footnote w:id="9">
    <w:p w:rsidR="00C001F3" w:rsidRPr="005D6AD2" w:rsidRDefault="00C001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Para. 59</w:t>
      </w:r>
    </w:p>
  </w:footnote>
  <w:footnote w:id="10">
    <w:p w:rsidR="00C001F3" w:rsidRPr="005D6AD2" w:rsidRDefault="00C001F3" w:rsidP="00F43A99">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2011 ONCA 628; </w:t>
      </w:r>
      <w:proofErr w:type="spellStart"/>
      <w:r>
        <w:rPr>
          <w:rFonts w:ascii="Times New Roman" w:hAnsi="Times New Roman" w:cs="Times New Roman"/>
        </w:rPr>
        <w:t>rev'g</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[2010] OJ No. 2864 (SCJ).</w:t>
      </w:r>
      <w:proofErr w:type="gramEnd"/>
      <w:r>
        <w:rPr>
          <w:rFonts w:ascii="Times New Roman" w:hAnsi="Times New Roman" w:cs="Times New Roman"/>
        </w:rPr>
        <w:t xml:space="preserve"> Note that Leave to Appeal to the Supreme Court of Canada was denied. See [2011] S.C.C.A. No. 539</w:t>
      </w:r>
    </w:p>
  </w:footnote>
  <w:footnote w:id="11">
    <w:p w:rsidR="00C001F3" w:rsidRPr="00F43A99" w:rsidRDefault="00C001F3" w:rsidP="0054023E">
      <w:pPr>
        <w:pStyle w:val="FootnoteText"/>
        <w:jc w:val="both"/>
        <w:rPr>
          <w:rFonts w:ascii="Times New Roman" w:hAnsi="Times New Roman" w:cs="Times New Roman"/>
        </w:rPr>
      </w:pPr>
      <w:r>
        <w:rPr>
          <w:rStyle w:val="FootnoteReference"/>
        </w:rPr>
        <w:footnoteRef/>
      </w:r>
      <w:r>
        <w:t xml:space="preserve"> </w:t>
      </w:r>
      <w:r w:rsidRPr="0054023E">
        <w:rPr>
          <w:rFonts w:ascii="Times New Roman" w:hAnsi="Times New Roman" w:cs="Times New Roman"/>
        </w:rPr>
        <w:t>The first round was known as</w:t>
      </w:r>
      <w:r>
        <w:rPr>
          <w:rFonts w:ascii="Times New Roman" w:hAnsi="Times New Roman" w:cs="Times New Roman"/>
          <w:sz w:val="24"/>
          <w:szCs w:val="24"/>
        </w:rPr>
        <w:t xml:space="preserve"> </w:t>
      </w:r>
      <w:r w:rsidRPr="00F43A99">
        <w:rPr>
          <w:rFonts w:ascii="Times New Roman" w:hAnsi="Times New Roman" w:cs="Times New Roman"/>
          <w:i/>
        </w:rPr>
        <w:t>Pearson v. Inco Limited et al</w:t>
      </w:r>
      <w:r>
        <w:rPr>
          <w:rFonts w:ascii="Times New Roman" w:hAnsi="Times New Roman" w:cs="Times New Roman"/>
        </w:rPr>
        <w:t xml:space="preserve"> (2006), 78 O.R. (3d) 641 (CAO); </w:t>
      </w:r>
      <w:proofErr w:type="spellStart"/>
      <w:r>
        <w:rPr>
          <w:rFonts w:ascii="Times New Roman" w:hAnsi="Times New Roman" w:cs="Times New Roman"/>
        </w:rPr>
        <w:t>rev'g</w:t>
      </w:r>
      <w:proofErr w:type="spellEnd"/>
      <w:r>
        <w:rPr>
          <w:rFonts w:ascii="Times New Roman" w:hAnsi="Times New Roman" w:cs="Times New Roman"/>
        </w:rPr>
        <w:t xml:space="preserve">. [2004] O.J. No. 317 (Div. Ct.); </w:t>
      </w:r>
      <w:proofErr w:type="spellStart"/>
      <w:r>
        <w:rPr>
          <w:rFonts w:ascii="Times New Roman" w:hAnsi="Times New Roman" w:cs="Times New Roman"/>
        </w:rPr>
        <w:t>aff'g</w:t>
      </w:r>
      <w:proofErr w:type="spellEnd"/>
      <w:r>
        <w:rPr>
          <w:rFonts w:ascii="Times New Roman" w:hAnsi="Times New Roman" w:cs="Times New Roman"/>
        </w:rPr>
        <w:t>. [2002] O.J. No. 2764 (SCJ)</w:t>
      </w:r>
    </w:p>
  </w:footnote>
  <w:footnote w:id="12">
    <w:p w:rsidR="00C001F3" w:rsidRDefault="00C001F3">
      <w:pPr>
        <w:pStyle w:val="FootnoteText"/>
      </w:pPr>
      <w:r>
        <w:rPr>
          <w:rStyle w:val="FootnoteReference"/>
        </w:rPr>
        <w:footnoteRef/>
      </w:r>
      <w:r>
        <w:t xml:space="preserve"> </w:t>
      </w:r>
      <w:proofErr w:type="gramStart"/>
      <w:r>
        <w:rPr>
          <w:rFonts w:ascii="Times New Roman" w:hAnsi="Times New Roman" w:cs="Times New Roman"/>
        </w:rPr>
        <w:t xml:space="preserve">2013 NSCA 143; </w:t>
      </w:r>
      <w:proofErr w:type="spellStart"/>
      <w:r w:rsidRPr="00ED7990">
        <w:rPr>
          <w:rFonts w:ascii="Times New Roman" w:hAnsi="Times New Roman" w:cs="Times New Roman"/>
        </w:rPr>
        <w:t>rev'g</w:t>
      </w:r>
      <w:proofErr w:type="spellEnd"/>
      <w:r>
        <w:rPr>
          <w:rFonts w:ascii="Times New Roman" w:hAnsi="Times New Roman" w:cs="Times New Roman"/>
        </w:rPr>
        <w:t>.</w:t>
      </w:r>
      <w:proofErr w:type="gramEnd"/>
      <w:r w:rsidRPr="00ED7990">
        <w:rPr>
          <w:rFonts w:ascii="Times New Roman" w:hAnsi="Times New Roman" w:cs="Times New Roman"/>
        </w:rPr>
        <w:t xml:space="preserve"> 2011 NSSC 484 (SCJ)</w:t>
      </w:r>
    </w:p>
  </w:footnote>
  <w:footnote w:id="13">
    <w:p w:rsidR="00C001F3" w:rsidRPr="002E6DA6" w:rsidRDefault="00C001F3" w:rsidP="002E6DA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2014 ABCA 108; see also, 2006 ABQB 348, varied 2007 ABCA 294 (the reasons for the case management judge's disposition of the summary judgement motion from which the appeal arises is unreported.)</w:t>
      </w:r>
    </w:p>
  </w:footnote>
  <w:footnote w:id="14">
    <w:p w:rsidR="00C001F3" w:rsidRPr="00665893" w:rsidRDefault="00C001F3" w:rsidP="0066589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[1994] 2 AC 264 at pp. 301-306 (HL)</w:t>
      </w:r>
    </w:p>
  </w:footnote>
  <w:footnote w:id="15">
    <w:p w:rsidR="00C001F3" w:rsidRPr="00665893" w:rsidRDefault="00C001F3" w:rsidP="00665893">
      <w:pPr>
        <w:pStyle w:val="FootnoteText"/>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2013 SCC 13 at </w:t>
      </w:r>
      <w:proofErr w:type="spellStart"/>
      <w:r>
        <w:rPr>
          <w:rFonts w:ascii="Times New Roman" w:hAnsi="Times New Roman" w:cs="Times New Roman"/>
        </w:rPr>
        <w:t>para</w:t>
      </w:r>
      <w:proofErr w:type="spellEnd"/>
      <w:r>
        <w:rPr>
          <w:rFonts w:ascii="Times New Roman" w:hAnsi="Times New Roman" w:cs="Times New Roman"/>
        </w:rPr>
        <w:t>.</w:t>
      </w:r>
      <w:proofErr w:type="gramEnd"/>
      <w:r>
        <w:rPr>
          <w:rFonts w:ascii="Times New Roman" w:hAnsi="Times New Roman" w:cs="Times New Roman"/>
        </w:rPr>
        <w:t xml:space="preserve"> 19</w:t>
      </w:r>
    </w:p>
  </w:footnote>
  <w:footnote w:id="16">
    <w:p w:rsidR="00C001F3" w:rsidRPr="00342B62" w:rsidRDefault="00C001F3" w:rsidP="00342B62">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The Ministry of the Environment, Queens Printer for Ontario, 2014</w:t>
      </w:r>
    </w:p>
  </w:footnote>
  <w:footnote w:id="17">
    <w:p w:rsidR="00C001F3" w:rsidRPr="00C001F3" w:rsidRDefault="00C001F3" w:rsidP="00C001F3">
      <w:pPr>
        <w:pStyle w:val="FootnoteText"/>
        <w:jc w:val="both"/>
        <w:rPr>
          <w:rFonts w:ascii="Times New Roman" w:hAnsi="Times New Roman" w:cs="Times New Roman"/>
        </w:rPr>
      </w:pPr>
      <w:r>
        <w:rPr>
          <w:rStyle w:val="FootnoteReference"/>
        </w:rPr>
        <w:footnoteRef/>
      </w:r>
      <w:r>
        <w:t xml:space="preserve"> </w:t>
      </w:r>
      <w:r w:rsidRPr="005A1486">
        <w:rPr>
          <w:rFonts w:ascii="Times New Roman" w:hAnsi="Times New Roman" w:cs="Times New Roman"/>
        </w:rPr>
        <w:t xml:space="preserve">Table 1 of the </w:t>
      </w:r>
      <w:r>
        <w:rPr>
          <w:rFonts w:ascii="Times New Roman" w:hAnsi="Times New Roman" w:cs="Times New Roman"/>
        </w:rPr>
        <w:t xml:space="preserve">Soil, Ground Water and Sediment Standards for Use Under Part XV.I of the </w:t>
      </w:r>
      <w:r w:rsidRPr="00C001F3">
        <w:rPr>
          <w:rFonts w:ascii="Times New Roman" w:hAnsi="Times New Roman" w:cs="Times New Roman"/>
          <w:i/>
        </w:rPr>
        <w:t>Environmental Protection Act</w:t>
      </w:r>
      <w:r>
        <w:rPr>
          <w:rFonts w:ascii="Times New Roman" w:hAnsi="Times New Roman" w:cs="Times New Roman"/>
        </w:rPr>
        <w:t>, Ministry of the Environment, April 15, 2011, PIBS #7382e01</w:t>
      </w:r>
    </w:p>
  </w:footnote>
  <w:footnote w:id="18">
    <w:p w:rsidR="00C001F3" w:rsidRPr="00E4205E" w:rsidRDefault="00C001F3" w:rsidP="00E4205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2011 ONSC 2337 (Div. Ct.)</w:t>
      </w:r>
    </w:p>
  </w:footnote>
  <w:footnote w:id="19">
    <w:p w:rsidR="00C001F3" w:rsidRPr="00E4205E" w:rsidRDefault="00C001F3" w:rsidP="00CE0246">
      <w:pPr>
        <w:pStyle w:val="FootnoteText"/>
        <w:rPr>
          <w:rFonts w:ascii="Times New Roman" w:hAnsi="Times New Roman" w:cs="Times New Roman"/>
        </w:rPr>
      </w:pPr>
      <w:r>
        <w:rPr>
          <w:rStyle w:val="FootnoteReference"/>
        </w:rPr>
        <w:footnoteRef/>
      </w:r>
      <w:r>
        <w:t xml:space="preserve"> </w:t>
      </w:r>
      <w:r w:rsidRPr="00E4205E">
        <w:rPr>
          <w:rFonts w:ascii="Times New Roman" w:hAnsi="Times New Roman" w:cs="Times New Roman"/>
        </w:rPr>
        <w:t>2013 ONSC 6990</w:t>
      </w:r>
    </w:p>
  </w:footnote>
  <w:footnote w:id="20">
    <w:p w:rsidR="00C001F3" w:rsidRPr="00E4205E" w:rsidRDefault="00C001F3" w:rsidP="00CE024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proofErr w:type="spellStart"/>
      <w:r>
        <w:rPr>
          <w:rFonts w:ascii="Times New Roman" w:hAnsi="Times New Roman" w:cs="Times New Roman"/>
        </w:rPr>
        <w:t>para</w:t>
      </w:r>
      <w:proofErr w:type="spellEnd"/>
      <w:r>
        <w:rPr>
          <w:rFonts w:ascii="Times New Roman" w:hAnsi="Times New Roman" w:cs="Times New Roman"/>
        </w:rPr>
        <w:t>. 19</w:t>
      </w:r>
    </w:p>
  </w:footnote>
  <w:footnote w:id="21">
    <w:p w:rsidR="00C001F3" w:rsidRPr="00CE0246" w:rsidRDefault="00C001F3" w:rsidP="00CE024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2013 ABQB 641</w:t>
      </w:r>
    </w:p>
  </w:footnote>
  <w:footnote w:id="22">
    <w:p w:rsidR="00C001F3" w:rsidRPr="00CE0246" w:rsidRDefault="00C001F3" w:rsidP="00CE0246">
      <w:pPr>
        <w:pStyle w:val="FootnoteText"/>
        <w:jc w:val="both"/>
        <w:rPr>
          <w:rFonts w:ascii="Times New Roman" w:hAnsi="Times New Roman" w:cs="Times New Roman"/>
        </w:rPr>
      </w:pPr>
      <w:r>
        <w:rPr>
          <w:rStyle w:val="FootnoteReference"/>
        </w:rPr>
        <w:footnoteRef/>
      </w:r>
      <w:r>
        <w:t xml:space="preserve"> </w:t>
      </w:r>
      <w:r w:rsidRPr="00CE0246">
        <w:rPr>
          <w:rFonts w:ascii="Times New Roman" w:hAnsi="Times New Roman" w:cs="Times New Roman"/>
        </w:rPr>
        <w:t>A similar conclusion was</w:t>
      </w:r>
      <w:r>
        <w:t xml:space="preserve"> </w:t>
      </w:r>
      <w:r w:rsidRPr="00CE0246">
        <w:rPr>
          <w:rFonts w:ascii="Times New Roman" w:hAnsi="Times New Roman" w:cs="Times New Roman"/>
        </w:rPr>
        <w:t xml:space="preserve">reached by the Court of Appeal for Ontario in </w:t>
      </w:r>
      <w:r w:rsidRPr="00CE0246">
        <w:rPr>
          <w:rFonts w:ascii="Times New Roman" w:hAnsi="Times New Roman" w:cs="Times New Roman"/>
          <w:i/>
        </w:rPr>
        <w:t xml:space="preserve">Greater Toronto Airport Authority v. Mississauga (City), </w:t>
      </w:r>
      <w:r>
        <w:rPr>
          <w:rFonts w:ascii="Times New Roman" w:hAnsi="Times New Roman" w:cs="Times New Roman"/>
        </w:rPr>
        <w:t xml:space="preserve">[2000] O.J. No. 4086 (C.A.); </w:t>
      </w:r>
      <w:proofErr w:type="spellStart"/>
      <w:r>
        <w:rPr>
          <w:rFonts w:ascii="Times New Roman" w:hAnsi="Times New Roman" w:cs="Times New Roman"/>
        </w:rPr>
        <w:t>aff'g</w:t>
      </w:r>
      <w:proofErr w:type="spellEnd"/>
      <w:r>
        <w:rPr>
          <w:rFonts w:ascii="Times New Roman" w:hAnsi="Times New Roman" w:cs="Times New Roman"/>
        </w:rPr>
        <w:t>. (1999), 43 O.R. (3d) 9 (SCJ). Note that leave to appeal to the Supreme Court of Canada was denied: SCC File No. 28363.</w:t>
      </w:r>
    </w:p>
  </w:footnote>
  <w:footnote w:id="23">
    <w:p w:rsidR="00C001F3" w:rsidRPr="00CE0246" w:rsidRDefault="00C001F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Para. 27</w:t>
      </w:r>
    </w:p>
  </w:footnote>
  <w:footnote w:id="24">
    <w:p w:rsidR="00C001F3" w:rsidRPr="00CE0246" w:rsidRDefault="00C001F3" w:rsidP="00CE0246">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r w:rsidRPr="00CE0246">
        <w:rPr>
          <w:rFonts w:ascii="Times New Roman" w:hAnsi="Times New Roman" w:cs="Times New Roman"/>
          <w:i/>
        </w:rPr>
        <w:t xml:space="preserve">Uxbridge (Township) v. </w:t>
      </w:r>
      <w:proofErr w:type="spellStart"/>
      <w:r w:rsidRPr="00CE0246">
        <w:rPr>
          <w:rFonts w:ascii="Times New Roman" w:hAnsi="Times New Roman" w:cs="Times New Roman"/>
          <w:i/>
        </w:rPr>
        <w:t>Corbar</w:t>
      </w:r>
      <w:proofErr w:type="spellEnd"/>
      <w:r w:rsidRPr="00CE0246">
        <w:rPr>
          <w:rFonts w:ascii="Times New Roman" w:hAnsi="Times New Roman" w:cs="Times New Roman"/>
          <w:i/>
        </w:rPr>
        <w:t xml:space="preserve"> Holdings Inc</w:t>
      </w:r>
      <w:r>
        <w:rPr>
          <w:rFonts w:ascii="Times New Roman" w:hAnsi="Times New Roman" w:cs="Times New Roman"/>
        </w:rPr>
        <w:t xml:space="preserve">., 2013 ONCA 561; </w:t>
      </w:r>
      <w:proofErr w:type="spellStart"/>
      <w:r>
        <w:rPr>
          <w:rFonts w:ascii="Times New Roman" w:hAnsi="Times New Roman" w:cs="Times New Roman"/>
        </w:rPr>
        <w:t>aff'g</w:t>
      </w:r>
      <w:proofErr w:type="spellEnd"/>
      <w:r>
        <w:rPr>
          <w:rFonts w:ascii="Times New Roman" w:hAnsi="Times New Roman" w:cs="Times New Roman"/>
        </w:rPr>
        <w:t xml:space="preserve">. 2012 ONSC 3527. See also </w:t>
      </w:r>
      <w:proofErr w:type="spellStart"/>
      <w:r w:rsidRPr="00CE0246">
        <w:rPr>
          <w:rFonts w:ascii="Times New Roman" w:hAnsi="Times New Roman" w:cs="Times New Roman"/>
          <w:i/>
        </w:rPr>
        <w:t>Geil</w:t>
      </w:r>
      <w:proofErr w:type="spellEnd"/>
      <w:r w:rsidRPr="00CE0246">
        <w:rPr>
          <w:rFonts w:ascii="Times New Roman" w:hAnsi="Times New Roman" w:cs="Times New Roman"/>
          <w:i/>
        </w:rPr>
        <w:t xml:space="preserve"> v. North </w:t>
      </w:r>
      <w:proofErr w:type="spellStart"/>
      <w:r w:rsidRPr="00CE0246">
        <w:rPr>
          <w:rFonts w:ascii="Times New Roman" w:hAnsi="Times New Roman" w:cs="Times New Roman"/>
          <w:i/>
        </w:rPr>
        <w:t>Dumphries</w:t>
      </w:r>
      <w:proofErr w:type="spellEnd"/>
      <w:r w:rsidRPr="00CE0246">
        <w:rPr>
          <w:rFonts w:ascii="Times New Roman" w:hAnsi="Times New Roman" w:cs="Times New Roman"/>
          <w:i/>
        </w:rPr>
        <w:t xml:space="preserve"> (Township), </w:t>
      </w:r>
      <w:r>
        <w:rPr>
          <w:rFonts w:ascii="Times New Roman" w:hAnsi="Times New Roman" w:cs="Times New Roman"/>
        </w:rPr>
        <w:t>[2009] OJ No. 5754 (OCJ)</w:t>
      </w:r>
    </w:p>
  </w:footnote>
  <w:footnote w:id="25">
    <w:p w:rsidR="00C001F3" w:rsidRPr="00D21601" w:rsidRDefault="00C001F3">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2012 ONCA 149; </w:t>
      </w:r>
      <w:proofErr w:type="spellStart"/>
      <w:r>
        <w:rPr>
          <w:rFonts w:ascii="Times New Roman" w:hAnsi="Times New Roman" w:cs="Times New Roman"/>
        </w:rPr>
        <w:t>aff'g</w:t>
      </w:r>
      <w:proofErr w:type="spellEnd"/>
      <w:r>
        <w:rPr>
          <w:rFonts w:ascii="Times New Roman" w:hAnsi="Times New Roman" w:cs="Times New Roman"/>
        </w:rPr>
        <w:t>.</w:t>
      </w:r>
      <w:proofErr w:type="gramEnd"/>
      <w:r>
        <w:rPr>
          <w:rFonts w:ascii="Times New Roman" w:hAnsi="Times New Roman" w:cs="Times New Roman"/>
        </w:rPr>
        <w:t xml:space="preserve"> 2011 ONSC 4657</w:t>
      </w:r>
    </w:p>
  </w:footnote>
  <w:footnote w:id="26">
    <w:p w:rsidR="00C001F3" w:rsidRPr="00D21601" w:rsidRDefault="00C001F3" w:rsidP="00D21601">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was the case in </w:t>
      </w:r>
      <w:r w:rsidRPr="00D21601">
        <w:rPr>
          <w:rFonts w:ascii="Times New Roman" w:hAnsi="Times New Roman" w:cs="Times New Roman"/>
          <w:i/>
        </w:rPr>
        <w:t>H</w:t>
      </w:r>
      <w:r>
        <w:rPr>
          <w:rFonts w:ascii="Times New Roman" w:hAnsi="Times New Roman" w:cs="Times New Roman"/>
          <w:i/>
        </w:rPr>
        <w:t>i</w:t>
      </w:r>
      <w:r w:rsidRPr="00D21601">
        <w:rPr>
          <w:rFonts w:ascii="Times New Roman" w:hAnsi="Times New Roman" w:cs="Times New Roman"/>
          <w:i/>
        </w:rPr>
        <w:t xml:space="preserve">lton Canada Inc. v. </w:t>
      </w:r>
      <w:proofErr w:type="spellStart"/>
      <w:r w:rsidRPr="00D21601">
        <w:rPr>
          <w:rFonts w:ascii="Times New Roman" w:hAnsi="Times New Roman" w:cs="Times New Roman"/>
          <w:i/>
        </w:rPr>
        <w:t>Magil</w:t>
      </w:r>
      <w:proofErr w:type="spellEnd"/>
      <w:r w:rsidRPr="00D21601">
        <w:rPr>
          <w:rFonts w:ascii="Times New Roman" w:hAnsi="Times New Roman" w:cs="Times New Roman"/>
          <w:i/>
        </w:rPr>
        <w:t xml:space="preserve"> Construction Ltd</w:t>
      </w:r>
      <w:r>
        <w:rPr>
          <w:rFonts w:ascii="Times New Roman" w:hAnsi="Times New Roman" w:cs="Times New Roman"/>
        </w:rPr>
        <w:t>., [1998] O.J. No. 3069 (SCJ), where a municipality was held to be entitled to rely upon a steel engineer's stamp, with no further review or investigation.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A83"/>
    <w:multiLevelType w:val="hybridMultilevel"/>
    <w:tmpl w:val="DE6A0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F42DD"/>
    <w:multiLevelType w:val="hybridMultilevel"/>
    <w:tmpl w:val="B3E86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0D6C3C"/>
    <w:multiLevelType w:val="hybridMultilevel"/>
    <w:tmpl w:val="32A8A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E61ECA"/>
    <w:multiLevelType w:val="hybridMultilevel"/>
    <w:tmpl w:val="C9427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7040BD"/>
    <w:multiLevelType w:val="hybridMultilevel"/>
    <w:tmpl w:val="B63A4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1A"/>
    <w:rsid w:val="000302BF"/>
    <w:rsid w:val="00044EBA"/>
    <w:rsid w:val="00056149"/>
    <w:rsid w:val="0008102C"/>
    <w:rsid w:val="0009251A"/>
    <w:rsid w:val="000C72C9"/>
    <w:rsid w:val="000D232E"/>
    <w:rsid w:val="000E4EF3"/>
    <w:rsid w:val="0010423E"/>
    <w:rsid w:val="001061FC"/>
    <w:rsid w:val="00110804"/>
    <w:rsid w:val="001326C0"/>
    <w:rsid w:val="001359A7"/>
    <w:rsid w:val="00164E1B"/>
    <w:rsid w:val="00193096"/>
    <w:rsid w:val="001B2D8B"/>
    <w:rsid w:val="001F2C8A"/>
    <w:rsid w:val="001F3BC4"/>
    <w:rsid w:val="0022158D"/>
    <w:rsid w:val="00266C46"/>
    <w:rsid w:val="002940A8"/>
    <w:rsid w:val="002A4470"/>
    <w:rsid w:val="002E4209"/>
    <w:rsid w:val="002E6DA6"/>
    <w:rsid w:val="002F373F"/>
    <w:rsid w:val="002F395B"/>
    <w:rsid w:val="002F45EB"/>
    <w:rsid w:val="003004DA"/>
    <w:rsid w:val="00303DA0"/>
    <w:rsid w:val="003168B3"/>
    <w:rsid w:val="003363DD"/>
    <w:rsid w:val="00342B62"/>
    <w:rsid w:val="00344C82"/>
    <w:rsid w:val="003563D3"/>
    <w:rsid w:val="00365A74"/>
    <w:rsid w:val="00375EBE"/>
    <w:rsid w:val="003C401F"/>
    <w:rsid w:val="003F6BD5"/>
    <w:rsid w:val="003F6CA0"/>
    <w:rsid w:val="00415C07"/>
    <w:rsid w:val="00457373"/>
    <w:rsid w:val="00484EF3"/>
    <w:rsid w:val="004A0012"/>
    <w:rsid w:val="004E3819"/>
    <w:rsid w:val="004F0667"/>
    <w:rsid w:val="00536F95"/>
    <w:rsid w:val="0054023E"/>
    <w:rsid w:val="00570026"/>
    <w:rsid w:val="00597D68"/>
    <w:rsid w:val="005A1486"/>
    <w:rsid w:val="005B2CBD"/>
    <w:rsid w:val="005B3AAB"/>
    <w:rsid w:val="005C06AF"/>
    <w:rsid w:val="005D6AD2"/>
    <w:rsid w:val="005D7DE2"/>
    <w:rsid w:val="005F173A"/>
    <w:rsid w:val="0061326A"/>
    <w:rsid w:val="00635682"/>
    <w:rsid w:val="006448F7"/>
    <w:rsid w:val="00644D75"/>
    <w:rsid w:val="00665893"/>
    <w:rsid w:val="006B74C9"/>
    <w:rsid w:val="006C0F4F"/>
    <w:rsid w:val="006C166D"/>
    <w:rsid w:val="006E2CE0"/>
    <w:rsid w:val="006F7AB7"/>
    <w:rsid w:val="00721F04"/>
    <w:rsid w:val="00727854"/>
    <w:rsid w:val="00763168"/>
    <w:rsid w:val="00772524"/>
    <w:rsid w:val="007735E3"/>
    <w:rsid w:val="0079512C"/>
    <w:rsid w:val="00853C7F"/>
    <w:rsid w:val="008D3DBF"/>
    <w:rsid w:val="00902328"/>
    <w:rsid w:val="00934323"/>
    <w:rsid w:val="00935E2A"/>
    <w:rsid w:val="00965141"/>
    <w:rsid w:val="00976246"/>
    <w:rsid w:val="009A226C"/>
    <w:rsid w:val="009A3F52"/>
    <w:rsid w:val="009A4A50"/>
    <w:rsid w:val="009C2366"/>
    <w:rsid w:val="009D7CB1"/>
    <w:rsid w:val="00A13C6C"/>
    <w:rsid w:val="00A76AA0"/>
    <w:rsid w:val="00AC43CA"/>
    <w:rsid w:val="00AE45F1"/>
    <w:rsid w:val="00B45B29"/>
    <w:rsid w:val="00BC0703"/>
    <w:rsid w:val="00C001F3"/>
    <w:rsid w:val="00C1057C"/>
    <w:rsid w:val="00C71D66"/>
    <w:rsid w:val="00C7280A"/>
    <w:rsid w:val="00C76D42"/>
    <w:rsid w:val="00C84D0F"/>
    <w:rsid w:val="00C92270"/>
    <w:rsid w:val="00CC05E9"/>
    <w:rsid w:val="00CE0246"/>
    <w:rsid w:val="00CE3D30"/>
    <w:rsid w:val="00CF072B"/>
    <w:rsid w:val="00D10C84"/>
    <w:rsid w:val="00D21601"/>
    <w:rsid w:val="00D27C17"/>
    <w:rsid w:val="00D61F17"/>
    <w:rsid w:val="00D87DE3"/>
    <w:rsid w:val="00DD1A3C"/>
    <w:rsid w:val="00DE5275"/>
    <w:rsid w:val="00E05BEA"/>
    <w:rsid w:val="00E12827"/>
    <w:rsid w:val="00E4205E"/>
    <w:rsid w:val="00E468B9"/>
    <w:rsid w:val="00E82730"/>
    <w:rsid w:val="00EA383B"/>
    <w:rsid w:val="00EA73A1"/>
    <w:rsid w:val="00EB388B"/>
    <w:rsid w:val="00ED4568"/>
    <w:rsid w:val="00ED7990"/>
    <w:rsid w:val="00F11021"/>
    <w:rsid w:val="00F13C41"/>
    <w:rsid w:val="00F13E1B"/>
    <w:rsid w:val="00F43A99"/>
    <w:rsid w:val="00F55212"/>
    <w:rsid w:val="00F73BD8"/>
    <w:rsid w:val="00FA50C7"/>
    <w:rsid w:val="00FC7F5B"/>
    <w:rsid w:val="00FF4F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1A"/>
    <w:rPr>
      <w:rFonts w:ascii="Tahoma" w:hAnsi="Tahoma" w:cs="Tahoma"/>
      <w:sz w:val="16"/>
      <w:szCs w:val="16"/>
    </w:rPr>
  </w:style>
  <w:style w:type="character" w:customStyle="1" w:styleId="BalloonTextChar">
    <w:name w:val="Balloon Text Char"/>
    <w:basedOn w:val="DefaultParagraphFont"/>
    <w:link w:val="BalloonText"/>
    <w:uiPriority w:val="99"/>
    <w:semiHidden/>
    <w:rsid w:val="0009251A"/>
    <w:rPr>
      <w:rFonts w:ascii="Tahoma" w:hAnsi="Tahoma" w:cs="Tahoma"/>
      <w:sz w:val="16"/>
      <w:szCs w:val="16"/>
    </w:rPr>
  </w:style>
  <w:style w:type="paragraph" w:styleId="FootnoteText">
    <w:name w:val="footnote text"/>
    <w:basedOn w:val="Normal"/>
    <w:link w:val="FootnoteTextChar"/>
    <w:uiPriority w:val="99"/>
    <w:unhideWhenUsed/>
    <w:rsid w:val="00597D68"/>
    <w:rPr>
      <w:sz w:val="20"/>
      <w:szCs w:val="20"/>
    </w:rPr>
  </w:style>
  <w:style w:type="character" w:customStyle="1" w:styleId="FootnoteTextChar">
    <w:name w:val="Footnote Text Char"/>
    <w:basedOn w:val="DefaultParagraphFont"/>
    <w:link w:val="FootnoteText"/>
    <w:uiPriority w:val="99"/>
    <w:rsid w:val="00597D68"/>
    <w:rPr>
      <w:sz w:val="20"/>
      <w:szCs w:val="20"/>
    </w:rPr>
  </w:style>
  <w:style w:type="character" w:styleId="FootnoteReference">
    <w:name w:val="footnote reference"/>
    <w:basedOn w:val="DefaultParagraphFont"/>
    <w:uiPriority w:val="99"/>
    <w:semiHidden/>
    <w:unhideWhenUsed/>
    <w:rsid w:val="00597D68"/>
    <w:rPr>
      <w:vertAlign w:val="superscript"/>
    </w:rPr>
  </w:style>
  <w:style w:type="paragraph" w:styleId="Header">
    <w:name w:val="header"/>
    <w:basedOn w:val="Normal"/>
    <w:link w:val="HeaderChar"/>
    <w:uiPriority w:val="99"/>
    <w:semiHidden/>
    <w:unhideWhenUsed/>
    <w:rsid w:val="003F6BD5"/>
    <w:pPr>
      <w:tabs>
        <w:tab w:val="center" w:pos="4680"/>
        <w:tab w:val="right" w:pos="9360"/>
      </w:tabs>
    </w:pPr>
  </w:style>
  <w:style w:type="character" w:customStyle="1" w:styleId="HeaderChar">
    <w:name w:val="Header Char"/>
    <w:basedOn w:val="DefaultParagraphFont"/>
    <w:link w:val="Header"/>
    <w:uiPriority w:val="99"/>
    <w:semiHidden/>
    <w:rsid w:val="003F6BD5"/>
  </w:style>
  <w:style w:type="paragraph" w:styleId="Footer">
    <w:name w:val="footer"/>
    <w:basedOn w:val="Normal"/>
    <w:link w:val="FooterChar"/>
    <w:uiPriority w:val="99"/>
    <w:unhideWhenUsed/>
    <w:rsid w:val="003F6BD5"/>
    <w:pPr>
      <w:tabs>
        <w:tab w:val="center" w:pos="4680"/>
        <w:tab w:val="right" w:pos="9360"/>
      </w:tabs>
    </w:pPr>
  </w:style>
  <w:style w:type="character" w:customStyle="1" w:styleId="FooterChar">
    <w:name w:val="Footer Char"/>
    <w:basedOn w:val="DefaultParagraphFont"/>
    <w:link w:val="Footer"/>
    <w:uiPriority w:val="99"/>
    <w:rsid w:val="003F6BD5"/>
  </w:style>
  <w:style w:type="character" w:styleId="Emphasis">
    <w:name w:val="Emphasis"/>
    <w:basedOn w:val="DefaultParagraphFont"/>
    <w:uiPriority w:val="20"/>
    <w:qFormat/>
    <w:rsid w:val="004E3819"/>
    <w:rPr>
      <w:b/>
      <w:bCs/>
      <w:i w:val="0"/>
      <w:iCs w:val="0"/>
    </w:rPr>
  </w:style>
  <w:style w:type="paragraph" w:styleId="ListParagraph">
    <w:name w:val="List Paragraph"/>
    <w:basedOn w:val="Normal"/>
    <w:uiPriority w:val="34"/>
    <w:qFormat/>
    <w:rsid w:val="00415C07"/>
    <w:pPr>
      <w:ind w:left="720"/>
      <w:contextualSpacing/>
    </w:pPr>
  </w:style>
  <w:style w:type="paragraph" w:styleId="HTMLAddress">
    <w:name w:val="HTML Address"/>
    <w:basedOn w:val="Normal"/>
    <w:link w:val="HTMLAddressChar"/>
    <w:uiPriority w:val="99"/>
    <w:semiHidden/>
    <w:unhideWhenUsed/>
    <w:rsid w:val="0008102C"/>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08102C"/>
    <w:rPr>
      <w:rFonts w:ascii="Times New Roman" w:eastAsia="Times New Roman" w:hAnsi="Times New Roman" w:cs="Times New Roman"/>
      <w:i/>
      <w:iCs/>
      <w:sz w:val="24"/>
      <w:szCs w:val="24"/>
      <w:lang w:eastAsia="en-CA"/>
    </w:rPr>
  </w:style>
  <w:style w:type="character" w:styleId="Strong">
    <w:name w:val="Strong"/>
    <w:basedOn w:val="DefaultParagraphFont"/>
    <w:uiPriority w:val="22"/>
    <w:qFormat/>
    <w:rsid w:val="000810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1A"/>
    <w:rPr>
      <w:rFonts w:ascii="Tahoma" w:hAnsi="Tahoma" w:cs="Tahoma"/>
      <w:sz w:val="16"/>
      <w:szCs w:val="16"/>
    </w:rPr>
  </w:style>
  <w:style w:type="character" w:customStyle="1" w:styleId="BalloonTextChar">
    <w:name w:val="Balloon Text Char"/>
    <w:basedOn w:val="DefaultParagraphFont"/>
    <w:link w:val="BalloonText"/>
    <w:uiPriority w:val="99"/>
    <w:semiHidden/>
    <w:rsid w:val="0009251A"/>
    <w:rPr>
      <w:rFonts w:ascii="Tahoma" w:hAnsi="Tahoma" w:cs="Tahoma"/>
      <w:sz w:val="16"/>
      <w:szCs w:val="16"/>
    </w:rPr>
  </w:style>
  <w:style w:type="paragraph" w:styleId="FootnoteText">
    <w:name w:val="footnote text"/>
    <w:basedOn w:val="Normal"/>
    <w:link w:val="FootnoteTextChar"/>
    <w:uiPriority w:val="99"/>
    <w:unhideWhenUsed/>
    <w:rsid w:val="00597D68"/>
    <w:rPr>
      <w:sz w:val="20"/>
      <w:szCs w:val="20"/>
    </w:rPr>
  </w:style>
  <w:style w:type="character" w:customStyle="1" w:styleId="FootnoteTextChar">
    <w:name w:val="Footnote Text Char"/>
    <w:basedOn w:val="DefaultParagraphFont"/>
    <w:link w:val="FootnoteText"/>
    <w:uiPriority w:val="99"/>
    <w:rsid w:val="00597D68"/>
    <w:rPr>
      <w:sz w:val="20"/>
      <w:szCs w:val="20"/>
    </w:rPr>
  </w:style>
  <w:style w:type="character" w:styleId="FootnoteReference">
    <w:name w:val="footnote reference"/>
    <w:basedOn w:val="DefaultParagraphFont"/>
    <w:uiPriority w:val="99"/>
    <w:semiHidden/>
    <w:unhideWhenUsed/>
    <w:rsid w:val="00597D68"/>
    <w:rPr>
      <w:vertAlign w:val="superscript"/>
    </w:rPr>
  </w:style>
  <w:style w:type="paragraph" w:styleId="Header">
    <w:name w:val="header"/>
    <w:basedOn w:val="Normal"/>
    <w:link w:val="HeaderChar"/>
    <w:uiPriority w:val="99"/>
    <w:semiHidden/>
    <w:unhideWhenUsed/>
    <w:rsid w:val="003F6BD5"/>
    <w:pPr>
      <w:tabs>
        <w:tab w:val="center" w:pos="4680"/>
        <w:tab w:val="right" w:pos="9360"/>
      </w:tabs>
    </w:pPr>
  </w:style>
  <w:style w:type="character" w:customStyle="1" w:styleId="HeaderChar">
    <w:name w:val="Header Char"/>
    <w:basedOn w:val="DefaultParagraphFont"/>
    <w:link w:val="Header"/>
    <w:uiPriority w:val="99"/>
    <w:semiHidden/>
    <w:rsid w:val="003F6BD5"/>
  </w:style>
  <w:style w:type="paragraph" w:styleId="Footer">
    <w:name w:val="footer"/>
    <w:basedOn w:val="Normal"/>
    <w:link w:val="FooterChar"/>
    <w:uiPriority w:val="99"/>
    <w:unhideWhenUsed/>
    <w:rsid w:val="003F6BD5"/>
    <w:pPr>
      <w:tabs>
        <w:tab w:val="center" w:pos="4680"/>
        <w:tab w:val="right" w:pos="9360"/>
      </w:tabs>
    </w:pPr>
  </w:style>
  <w:style w:type="character" w:customStyle="1" w:styleId="FooterChar">
    <w:name w:val="Footer Char"/>
    <w:basedOn w:val="DefaultParagraphFont"/>
    <w:link w:val="Footer"/>
    <w:uiPriority w:val="99"/>
    <w:rsid w:val="003F6BD5"/>
  </w:style>
  <w:style w:type="character" w:styleId="Emphasis">
    <w:name w:val="Emphasis"/>
    <w:basedOn w:val="DefaultParagraphFont"/>
    <w:uiPriority w:val="20"/>
    <w:qFormat/>
    <w:rsid w:val="004E3819"/>
    <w:rPr>
      <w:b/>
      <w:bCs/>
      <w:i w:val="0"/>
      <w:iCs w:val="0"/>
    </w:rPr>
  </w:style>
  <w:style w:type="paragraph" w:styleId="ListParagraph">
    <w:name w:val="List Paragraph"/>
    <w:basedOn w:val="Normal"/>
    <w:uiPriority w:val="34"/>
    <w:qFormat/>
    <w:rsid w:val="00415C07"/>
    <w:pPr>
      <w:ind w:left="720"/>
      <w:contextualSpacing/>
    </w:pPr>
  </w:style>
  <w:style w:type="paragraph" w:styleId="HTMLAddress">
    <w:name w:val="HTML Address"/>
    <w:basedOn w:val="Normal"/>
    <w:link w:val="HTMLAddressChar"/>
    <w:uiPriority w:val="99"/>
    <w:semiHidden/>
    <w:unhideWhenUsed/>
    <w:rsid w:val="0008102C"/>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08102C"/>
    <w:rPr>
      <w:rFonts w:ascii="Times New Roman" w:eastAsia="Times New Roman" w:hAnsi="Times New Roman" w:cs="Times New Roman"/>
      <w:i/>
      <w:iCs/>
      <w:sz w:val="24"/>
      <w:szCs w:val="24"/>
      <w:lang w:eastAsia="en-CA"/>
    </w:rPr>
  </w:style>
  <w:style w:type="character" w:styleId="Strong">
    <w:name w:val="Strong"/>
    <w:basedOn w:val="DefaultParagraphFont"/>
    <w:uiPriority w:val="22"/>
    <w:qFormat/>
    <w:rsid w:val="00081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0691">
      <w:bodyDiv w:val="1"/>
      <w:marLeft w:val="0"/>
      <w:marRight w:val="0"/>
      <w:marTop w:val="0"/>
      <w:marBottom w:val="0"/>
      <w:divBdr>
        <w:top w:val="none" w:sz="0" w:space="0" w:color="auto"/>
        <w:left w:val="none" w:sz="0" w:space="0" w:color="auto"/>
        <w:bottom w:val="none" w:sz="0" w:space="0" w:color="auto"/>
        <w:right w:val="none" w:sz="0" w:space="0" w:color="auto"/>
      </w:divBdr>
      <w:divsChild>
        <w:div w:id="633944526">
          <w:marLeft w:val="0"/>
          <w:marRight w:val="0"/>
          <w:marTop w:val="0"/>
          <w:marBottom w:val="0"/>
          <w:divBdr>
            <w:top w:val="none" w:sz="0" w:space="0" w:color="auto"/>
            <w:left w:val="none" w:sz="0" w:space="0" w:color="auto"/>
            <w:bottom w:val="none" w:sz="0" w:space="0" w:color="auto"/>
            <w:right w:val="none" w:sz="0" w:space="0" w:color="auto"/>
          </w:divBdr>
          <w:divsChild>
            <w:div w:id="46465108">
              <w:marLeft w:val="0"/>
              <w:marRight w:val="0"/>
              <w:marTop w:val="0"/>
              <w:marBottom w:val="0"/>
              <w:divBdr>
                <w:top w:val="none" w:sz="0" w:space="0" w:color="auto"/>
                <w:left w:val="none" w:sz="0" w:space="0" w:color="auto"/>
                <w:bottom w:val="none" w:sz="0" w:space="0" w:color="auto"/>
                <w:right w:val="none" w:sz="0" w:space="0" w:color="auto"/>
              </w:divBdr>
              <w:divsChild>
                <w:div w:id="746810095">
                  <w:marLeft w:val="0"/>
                  <w:marRight w:val="0"/>
                  <w:marTop w:val="0"/>
                  <w:marBottom w:val="0"/>
                  <w:divBdr>
                    <w:top w:val="none" w:sz="0" w:space="0" w:color="auto"/>
                    <w:left w:val="none" w:sz="0" w:space="0" w:color="auto"/>
                    <w:bottom w:val="none" w:sz="0" w:space="0" w:color="auto"/>
                    <w:right w:val="none" w:sz="0" w:space="0" w:color="auto"/>
                  </w:divBdr>
                  <w:divsChild>
                    <w:div w:id="1391491335">
                      <w:marLeft w:val="0"/>
                      <w:marRight w:val="0"/>
                      <w:marTop w:val="0"/>
                      <w:marBottom w:val="0"/>
                      <w:divBdr>
                        <w:top w:val="none" w:sz="0" w:space="0" w:color="auto"/>
                        <w:left w:val="none" w:sz="0" w:space="0" w:color="auto"/>
                        <w:bottom w:val="none" w:sz="0" w:space="0" w:color="auto"/>
                        <w:right w:val="none" w:sz="0" w:space="0" w:color="auto"/>
                      </w:divBdr>
                      <w:divsChild>
                        <w:div w:id="1524132927">
                          <w:marLeft w:val="0"/>
                          <w:marRight w:val="0"/>
                          <w:marTop w:val="0"/>
                          <w:marBottom w:val="0"/>
                          <w:divBdr>
                            <w:top w:val="none" w:sz="0" w:space="0" w:color="auto"/>
                            <w:left w:val="none" w:sz="0" w:space="0" w:color="auto"/>
                            <w:bottom w:val="none" w:sz="0" w:space="0" w:color="auto"/>
                            <w:right w:val="none" w:sz="0" w:space="0" w:color="auto"/>
                          </w:divBdr>
                          <w:divsChild>
                            <w:div w:id="228155528">
                              <w:marLeft w:val="0"/>
                              <w:marRight w:val="0"/>
                              <w:marTop w:val="0"/>
                              <w:marBottom w:val="0"/>
                              <w:divBdr>
                                <w:top w:val="none" w:sz="0" w:space="0" w:color="auto"/>
                                <w:left w:val="none" w:sz="0" w:space="0" w:color="auto"/>
                                <w:bottom w:val="none" w:sz="0" w:space="0" w:color="auto"/>
                                <w:right w:val="none" w:sz="0" w:space="0" w:color="auto"/>
                              </w:divBdr>
                              <w:divsChild>
                                <w:div w:id="1951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4424</Words>
  <Characters>25217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kwalsh</dc:creator>
  <cp:lastModifiedBy>Meredith James</cp:lastModifiedBy>
  <cp:revision>2</cp:revision>
  <cp:lastPrinted>2014-06-03T19:23:00Z</cp:lastPrinted>
  <dcterms:created xsi:type="dcterms:W3CDTF">2014-06-09T02:17:00Z</dcterms:created>
  <dcterms:modified xsi:type="dcterms:W3CDTF">2014-06-09T02:17:00Z</dcterms:modified>
</cp:coreProperties>
</file>